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6A9C3A">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w:t>
      </w:r>
      <w:r>
        <w:rPr>
          <w:rFonts w:hint="eastAsia" w:eastAsia="方正小标宋简体"/>
          <w:sz w:val="32"/>
          <w:szCs w:val="32"/>
        </w:rPr>
        <w:t>电动食品加工设备</w:t>
      </w:r>
      <w:r>
        <w:rPr>
          <w:rFonts w:hint="eastAsia" w:ascii="Times New Roman" w:hAnsi="Times New Roman" w:eastAsia="方正小标宋简体" w:cs="方正仿宋简体"/>
          <w:color w:val="000000"/>
          <w:sz w:val="32"/>
          <w:szCs w:val="32"/>
        </w:rPr>
        <w:t>产品质量监督抽查实施细则</w:t>
      </w:r>
    </w:p>
    <w:p w14:paraId="7C77715A">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046456F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6793841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161F99B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08553F97">
      <w:pPr>
        <w:shd w:val="clear" w:color="auto" w:fill="FFFFFF"/>
        <w:snapToGrid w:val="0"/>
        <w:spacing w:line="440" w:lineRule="exact"/>
        <w:ind w:firstLine="420" w:firstLineChars="20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整机：每批次产品抽取样品2台，其中检验样品1台，备用样品1台。</w:t>
      </w:r>
    </w:p>
    <w:p w14:paraId="2C2E2AAD">
      <w:pPr>
        <w:shd w:val="clear" w:color="auto" w:fill="FFFFFF"/>
        <w:adjustRightInd w:val="0"/>
        <w:snapToGrid w:val="0"/>
        <w:spacing w:line="440" w:lineRule="exact"/>
        <w:ind w:left="11" w:firstLine="420" w:firstLineChars="200"/>
        <w:jc w:val="left"/>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材料样块：抽取与食品</w:t>
      </w:r>
      <w:r>
        <w:rPr>
          <w:rFonts w:hint="default" w:ascii="Times New Roman" w:hAnsi="Times New Roman" w:cs="Times New Roman"/>
          <w:color w:val="000000" w:themeColor="text1"/>
          <w:highlight w:val="none"/>
          <w:lang w:val="en-US" w:eastAsia="zh-CN"/>
          <w14:textFill>
            <w14:solidFill>
              <w14:schemeClr w14:val="tx1"/>
            </w14:solidFill>
          </w14:textFill>
        </w:rPr>
        <w:t>直接</w:t>
      </w:r>
      <w:r>
        <w:rPr>
          <w:rFonts w:hint="default" w:ascii="Times New Roman" w:hAnsi="Times New Roman" w:cs="Times New Roman"/>
          <w:color w:val="000000" w:themeColor="text1"/>
          <w:highlight w:val="none"/>
          <w14:textFill>
            <w14:solidFill>
              <w14:schemeClr w14:val="tx1"/>
            </w14:solidFill>
          </w14:textFill>
        </w:rPr>
        <w:t>接触的材料，有多种材料时，抽取2种与食品接触面积较大的材料。材料样块在整机直接接触食品的部件上截取，或与其部件同材质、同生产商的原材料或外购外协件上截取。每批次产品截取材料样块材质种类及抽样数量见表1。</w:t>
      </w:r>
    </w:p>
    <w:p w14:paraId="350FD927">
      <w:pPr>
        <w:shd w:val="clear" w:color="auto" w:fill="FFFFFF"/>
        <w:adjustRightInd w:val="0"/>
        <w:snapToGrid w:val="0"/>
        <w:spacing w:line="440" w:lineRule="exact"/>
        <w:ind w:hanging="11"/>
        <w:jc w:val="center"/>
        <w:rPr>
          <w:rFonts w:hint="default" w:ascii="Times New Roman" w:hAnsi="Times New Roman" w:cs="Times New Roman"/>
          <w:color w:val="000000" w:themeColor="text1"/>
          <w:sz w:val="28"/>
          <w:szCs w:val="28"/>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 xml:space="preserve">表1 </w:t>
      </w:r>
      <w:bookmarkStart w:id="0" w:name="OLE_LINK5"/>
      <w:r>
        <w:rPr>
          <w:rFonts w:hint="default" w:ascii="Times New Roman" w:hAnsi="Times New Roman" w:cs="Times New Roman"/>
          <w:color w:val="000000" w:themeColor="text1"/>
          <w:highlight w:val="none"/>
          <w14:textFill>
            <w14:solidFill>
              <w14:schemeClr w14:val="tx1"/>
            </w14:solidFill>
          </w14:textFill>
        </w:rPr>
        <w:t>材料样块材质及抽样数量</w:t>
      </w:r>
      <w:bookmarkEnd w:id="0"/>
    </w:p>
    <w:tbl>
      <w:tblPr>
        <w:tblStyle w:val="8"/>
        <w:tblW w:w="9098"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
        <w:gridCol w:w="3345"/>
        <w:gridCol w:w="1619"/>
        <w:gridCol w:w="1619"/>
        <w:gridCol w:w="1621"/>
      </w:tblGrid>
      <w:tr w14:paraId="15D8F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trPr>
        <w:tc>
          <w:tcPr>
            <w:tcW w:w="894" w:type="dxa"/>
            <w:vAlign w:val="center"/>
          </w:tcPr>
          <w:p w14:paraId="477B0DC4">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序号</w:t>
            </w:r>
          </w:p>
        </w:tc>
        <w:tc>
          <w:tcPr>
            <w:tcW w:w="3345" w:type="dxa"/>
            <w:vAlign w:val="center"/>
          </w:tcPr>
          <w:p w14:paraId="1D9C387D">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材料样块材质</w:t>
            </w:r>
          </w:p>
        </w:tc>
        <w:tc>
          <w:tcPr>
            <w:tcW w:w="1619" w:type="dxa"/>
            <w:vAlign w:val="center"/>
          </w:tcPr>
          <w:p w14:paraId="2843A977">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抽样数量（组/每组表面积）</w:t>
            </w:r>
          </w:p>
        </w:tc>
        <w:tc>
          <w:tcPr>
            <w:tcW w:w="1619" w:type="dxa"/>
            <w:vAlign w:val="center"/>
          </w:tcPr>
          <w:p w14:paraId="12811338">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检样数量（组）</w:t>
            </w:r>
          </w:p>
        </w:tc>
        <w:tc>
          <w:tcPr>
            <w:tcW w:w="1621" w:type="dxa"/>
            <w:vAlign w:val="center"/>
          </w:tcPr>
          <w:p w14:paraId="3027CBCD">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备样数量（组）</w:t>
            </w:r>
          </w:p>
        </w:tc>
      </w:tr>
      <w:tr w14:paraId="23060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94" w:type="dxa"/>
            <w:shd w:val="clear" w:color="auto" w:fill="auto"/>
            <w:vAlign w:val="center"/>
          </w:tcPr>
          <w:p w14:paraId="6F22FE2E">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1</w:t>
            </w:r>
          </w:p>
        </w:tc>
        <w:tc>
          <w:tcPr>
            <w:tcW w:w="3345" w:type="dxa"/>
            <w:shd w:val="clear" w:color="auto" w:fill="auto"/>
            <w:vAlign w:val="center"/>
          </w:tcPr>
          <w:p w14:paraId="4249BB99">
            <w:pPr>
              <w:shd w:val="clear" w:color="auto" w:fill="FFFFFF"/>
              <w:adjustRightInd w:val="0"/>
              <w:snapToGrid w:val="0"/>
              <w:jc w:val="center"/>
              <w:rPr>
                <w:rFonts w:hint="default" w:ascii="Times New Roman" w:hAnsi="Times New Roman" w:cs="Times New Roman"/>
                <w:color w:val="000000" w:themeColor="text1"/>
                <w:highlight w:val="none"/>
                <w:vertAlign w:val="superscript"/>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金属材质</w:t>
            </w:r>
            <w:r>
              <w:rPr>
                <w:rFonts w:hint="default" w:ascii="Times New Roman" w:hAnsi="Times New Roman" w:cs="Times New Roman"/>
                <w:color w:val="000000" w:themeColor="text1"/>
                <w:highlight w:val="none"/>
                <w:vertAlign w:val="superscript"/>
                <w14:textFill>
                  <w14:solidFill>
                    <w14:schemeClr w14:val="tx1"/>
                  </w14:solidFill>
                </w14:textFill>
              </w:rPr>
              <w:t>a</w:t>
            </w:r>
          </w:p>
        </w:tc>
        <w:tc>
          <w:tcPr>
            <w:tcW w:w="1619" w:type="dxa"/>
            <w:shd w:val="clear" w:color="auto" w:fill="FFFFFF"/>
            <w:vAlign w:val="center"/>
          </w:tcPr>
          <w:p w14:paraId="493C1E65">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6组/25cm</w:t>
            </w:r>
            <w:r>
              <w:rPr>
                <w:rFonts w:hint="default" w:ascii="Times New Roman" w:hAnsi="Times New Roman" w:cs="Times New Roman"/>
                <w:color w:val="000000" w:themeColor="text1"/>
                <w:highlight w:val="none"/>
                <w:vertAlign w:val="superscript"/>
                <w14:textFill>
                  <w14:solidFill>
                    <w14:schemeClr w14:val="tx1"/>
                  </w14:solidFill>
                </w14:textFill>
              </w:rPr>
              <w:t>2</w:t>
            </w:r>
          </w:p>
        </w:tc>
        <w:tc>
          <w:tcPr>
            <w:tcW w:w="1619" w:type="dxa"/>
            <w:shd w:val="clear" w:color="auto" w:fill="FFFFFF"/>
            <w:vAlign w:val="center"/>
          </w:tcPr>
          <w:p w14:paraId="1F9B50C5">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3</w:t>
            </w:r>
          </w:p>
        </w:tc>
        <w:tc>
          <w:tcPr>
            <w:tcW w:w="1621" w:type="dxa"/>
            <w:shd w:val="clear" w:color="auto" w:fill="FFFFFF"/>
            <w:vAlign w:val="center"/>
          </w:tcPr>
          <w:p w14:paraId="767AA5C8">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3</w:t>
            </w:r>
          </w:p>
        </w:tc>
      </w:tr>
      <w:tr w14:paraId="0952E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894" w:type="dxa"/>
            <w:shd w:val="clear" w:color="auto" w:fill="auto"/>
            <w:vAlign w:val="center"/>
          </w:tcPr>
          <w:p w14:paraId="01A3FE0E">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2</w:t>
            </w:r>
          </w:p>
        </w:tc>
        <w:tc>
          <w:tcPr>
            <w:tcW w:w="3345" w:type="dxa"/>
            <w:shd w:val="clear" w:color="auto" w:fill="auto"/>
            <w:vAlign w:val="center"/>
          </w:tcPr>
          <w:p w14:paraId="0513AB9C">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塑料材质</w:t>
            </w:r>
          </w:p>
        </w:tc>
        <w:tc>
          <w:tcPr>
            <w:tcW w:w="1619" w:type="dxa"/>
            <w:shd w:val="clear" w:color="auto" w:fill="FFFFFF"/>
            <w:vAlign w:val="center"/>
          </w:tcPr>
          <w:p w14:paraId="2703D9F1">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30</w:t>
            </w:r>
            <w:r>
              <w:rPr>
                <w:rFonts w:hint="default" w:ascii="Times New Roman" w:hAnsi="Times New Roman" w:cs="Times New Roman"/>
                <w:color w:val="000000" w:themeColor="text1"/>
                <w:highlight w:val="none"/>
                <w14:textFill>
                  <w14:solidFill>
                    <w14:schemeClr w14:val="tx1"/>
                  </w14:solidFill>
                </w14:textFill>
              </w:rPr>
              <w:t>组/25cm</w:t>
            </w:r>
            <w:r>
              <w:rPr>
                <w:rFonts w:hint="default" w:ascii="Times New Roman" w:hAnsi="Times New Roman" w:cs="Times New Roman"/>
                <w:color w:val="000000" w:themeColor="text1"/>
                <w:highlight w:val="none"/>
                <w:vertAlign w:val="superscript"/>
                <w14:textFill>
                  <w14:solidFill>
                    <w14:schemeClr w14:val="tx1"/>
                  </w14:solidFill>
                </w14:textFill>
              </w:rPr>
              <w:t>2</w:t>
            </w:r>
          </w:p>
        </w:tc>
        <w:tc>
          <w:tcPr>
            <w:tcW w:w="1619" w:type="dxa"/>
            <w:shd w:val="clear" w:color="auto" w:fill="FFFFFF"/>
            <w:vAlign w:val="center"/>
          </w:tcPr>
          <w:p w14:paraId="35CB53AF">
            <w:pPr>
              <w:shd w:val="clear" w:color="auto" w:fill="FFFFFF"/>
              <w:adjustRightInd w:val="0"/>
              <w:snapToGrid w:val="0"/>
              <w:jc w:val="center"/>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20</w:t>
            </w:r>
          </w:p>
        </w:tc>
        <w:tc>
          <w:tcPr>
            <w:tcW w:w="1621" w:type="dxa"/>
            <w:shd w:val="clear" w:color="auto" w:fill="FFFFFF"/>
            <w:vAlign w:val="center"/>
          </w:tcPr>
          <w:p w14:paraId="46E1CC8F">
            <w:pPr>
              <w:shd w:val="clear" w:color="auto" w:fill="FFFFFF"/>
              <w:adjustRightInd w:val="0"/>
              <w:snapToGrid w:val="0"/>
              <w:jc w:val="center"/>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10</w:t>
            </w:r>
          </w:p>
        </w:tc>
      </w:tr>
      <w:tr w14:paraId="55765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94" w:type="dxa"/>
            <w:shd w:val="clear" w:color="auto" w:fill="auto"/>
            <w:vAlign w:val="center"/>
          </w:tcPr>
          <w:p w14:paraId="02264C9D">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3</w:t>
            </w:r>
          </w:p>
        </w:tc>
        <w:tc>
          <w:tcPr>
            <w:tcW w:w="3345" w:type="dxa"/>
            <w:shd w:val="clear" w:color="auto" w:fill="auto"/>
            <w:vAlign w:val="center"/>
          </w:tcPr>
          <w:p w14:paraId="22F23952">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橡胶材质</w:t>
            </w:r>
          </w:p>
        </w:tc>
        <w:tc>
          <w:tcPr>
            <w:tcW w:w="1619" w:type="dxa"/>
            <w:shd w:val="clear" w:color="auto" w:fill="FFFFFF"/>
            <w:vAlign w:val="center"/>
          </w:tcPr>
          <w:p w14:paraId="0BD2505D">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6</w:t>
            </w:r>
            <w:r>
              <w:rPr>
                <w:rFonts w:hint="default" w:ascii="Times New Roman" w:hAnsi="Times New Roman" w:cs="Times New Roman"/>
                <w:color w:val="000000" w:themeColor="text1"/>
                <w:highlight w:val="none"/>
                <w14:textFill>
                  <w14:solidFill>
                    <w14:schemeClr w14:val="tx1"/>
                  </w14:solidFill>
                </w14:textFill>
              </w:rPr>
              <w:t>组/150cm</w:t>
            </w:r>
            <w:r>
              <w:rPr>
                <w:rFonts w:hint="default" w:ascii="Times New Roman" w:hAnsi="Times New Roman" w:cs="Times New Roman"/>
                <w:color w:val="000000" w:themeColor="text1"/>
                <w:highlight w:val="none"/>
                <w:vertAlign w:val="superscript"/>
                <w14:textFill>
                  <w14:solidFill>
                    <w14:schemeClr w14:val="tx1"/>
                  </w14:solidFill>
                </w14:textFill>
              </w:rPr>
              <w:t>2</w:t>
            </w:r>
          </w:p>
        </w:tc>
        <w:tc>
          <w:tcPr>
            <w:tcW w:w="1619" w:type="dxa"/>
            <w:shd w:val="clear" w:color="auto" w:fill="FFFFFF"/>
            <w:vAlign w:val="center"/>
          </w:tcPr>
          <w:p w14:paraId="58186824">
            <w:pPr>
              <w:shd w:val="clear" w:color="auto" w:fill="FFFFFF"/>
              <w:adjustRightInd w:val="0"/>
              <w:snapToGrid w:val="0"/>
              <w:jc w:val="center"/>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4</w:t>
            </w:r>
          </w:p>
        </w:tc>
        <w:tc>
          <w:tcPr>
            <w:tcW w:w="1621" w:type="dxa"/>
            <w:shd w:val="clear" w:color="auto" w:fill="FFFFFF"/>
            <w:vAlign w:val="center"/>
          </w:tcPr>
          <w:p w14:paraId="2AA5A9BE">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 xml:space="preserve">2 </w:t>
            </w:r>
          </w:p>
        </w:tc>
      </w:tr>
      <w:tr w14:paraId="43AD6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94" w:type="dxa"/>
            <w:shd w:val="clear" w:color="auto" w:fill="auto"/>
            <w:vAlign w:val="center"/>
          </w:tcPr>
          <w:p w14:paraId="0C416DF1">
            <w:pPr>
              <w:shd w:val="clear" w:color="auto" w:fill="FFFFFF"/>
              <w:adjustRightInd w:val="0"/>
              <w:snapToGrid w:val="0"/>
              <w:jc w:val="center"/>
              <w:rPr>
                <w:rFonts w:hint="default" w:ascii="Times New Roman" w:hAnsi="Times New Roman" w:eastAsia="宋体" w:cs="Times New Roman"/>
                <w:color w:val="000000" w:themeColor="text1"/>
                <w:highlight w:val="none"/>
                <w:lang w:eastAsia="zh-CN"/>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4</w:t>
            </w:r>
          </w:p>
        </w:tc>
        <w:tc>
          <w:tcPr>
            <w:tcW w:w="3345" w:type="dxa"/>
            <w:shd w:val="clear" w:color="auto" w:fill="auto"/>
            <w:vAlign w:val="center"/>
          </w:tcPr>
          <w:p w14:paraId="202E9689">
            <w:pPr>
              <w:shd w:val="clear" w:color="auto" w:fill="FFFFFF"/>
              <w:adjustRightInd w:val="0"/>
              <w:snapToGrid w:val="0"/>
              <w:jc w:val="center"/>
              <w:rPr>
                <w:rFonts w:hint="default" w:ascii="Times New Roman" w:hAnsi="Times New Roman" w:cs="Times New Roman"/>
                <w:color w:val="000000" w:themeColor="text1"/>
                <w:highlight w:val="none"/>
                <w:lang w:val="en-US"/>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硅橡胶材质</w:t>
            </w:r>
          </w:p>
        </w:tc>
        <w:tc>
          <w:tcPr>
            <w:tcW w:w="1619" w:type="dxa"/>
            <w:shd w:val="clear" w:color="auto" w:fill="FFFFFF"/>
            <w:vAlign w:val="center"/>
          </w:tcPr>
          <w:p w14:paraId="23F5A45B">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9</w:t>
            </w:r>
            <w:r>
              <w:rPr>
                <w:rFonts w:hint="default" w:ascii="Times New Roman" w:hAnsi="Times New Roman" w:cs="Times New Roman"/>
                <w:color w:val="000000" w:themeColor="text1"/>
                <w:highlight w:val="none"/>
                <w14:textFill>
                  <w14:solidFill>
                    <w14:schemeClr w14:val="tx1"/>
                  </w14:solidFill>
                </w14:textFill>
              </w:rPr>
              <w:t>组/150cm</w:t>
            </w:r>
            <w:r>
              <w:rPr>
                <w:rFonts w:hint="default" w:ascii="Times New Roman" w:hAnsi="Times New Roman" w:cs="Times New Roman"/>
                <w:color w:val="000000" w:themeColor="text1"/>
                <w:highlight w:val="none"/>
                <w:vertAlign w:val="superscript"/>
                <w14:textFill>
                  <w14:solidFill>
                    <w14:schemeClr w14:val="tx1"/>
                  </w14:solidFill>
                </w14:textFill>
              </w:rPr>
              <w:t>2</w:t>
            </w:r>
          </w:p>
        </w:tc>
        <w:tc>
          <w:tcPr>
            <w:tcW w:w="1619" w:type="dxa"/>
            <w:shd w:val="clear" w:color="auto" w:fill="FFFFFF"/>
            <w:vAlign w:val="center"/>
          </w:tcPr>
          <w:p w14:paraId="07EFB991">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6</w:t>
            </w:r>
            <w:r>
              <w:rPr>
                <w:rFonts w:hint="default" w:ascii="Times New Roman" w:hAnsi="Times New Roman" w:cs="Times New Roman"/>
                <w:color w:val="000000" w:themeColor="text1"/>
                <w:highlight w:val="none"/>
                <w14:textFill>
                  <w14:solidFill>
                    <w14:schemeClr w14:val="tx1"/>
                  </w14:solidFill>
                </w14:textFill>
              </w:rPr>
              <w:t xml:space="preserve"> </w:t>
            </w:r>
          </w:p>
        </w:tc>
        <w:tc>
          <w:tcPr>
            <w:tcW w:w="1621" w:type="dxa"/>
            <w:shd w:val="clear" w:color="auto" w:fill="FFFFFF"/>
            <w:vAlign w:val="center"/>
          </w:tcPr>
          <w:p w14:paraId="7304B5CC">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3</w:t>
            </w:r>
            <w:r>
              <w:rPr>
                <w:rFonts w:hint="default" w:ascii="Times New Roman" w:hAnsi="Times New Roman" w:cs="Times New Roman"/>
                <w:color w:val="000000" w:themeColor="text1"/>
                <w:highlight w:val="none"/>
                <w14:textFill>
                  <w14:solidFill>
                    <w14:schemeClr w14:val="tx1"/>
                  </w14:solidFill>
                </w14:textFill>
              </w:rPr>
              <w:t xml:space="preserve"> </w:t>
            </w:r>
          </w:p>
        </w:tc>
      </w:tr>
      <w:tr w14:paraId="2DB3F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098" w:type="dxa"/>
            <w:gridSpan w:val="5"/>
            <w:vAlign w:val="center"/>
          </w:tcPr>
          <w:p w14:paraId="7B949CFF">
            <w:pPr>
              <w:shd w:val="clear" w:color="auto" w:fill="FFFFFF"/>
              <w:adjustRightInd w:val="0"/>
              <w:snapToGrid w:val="0"/>
              <w:jc w:val="left"/>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注：a 涂（镀）层金属材料除外。</w:t>
            </w:r>
          </w:p>
        </w:tc>
      </w:tr>
    </w:tbl>
    <w:p w14:paraId="3657F6B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黑体" w:cs="黑体"/>
          <w:sz w:val="22"/>
          <w:szCs w:val="28"/>
          <w:lang w:val="en-US" w:eastAsia="zh-CN"/>
        </w:rPr>
      </w:pPr>
    </w:p>
    <w:p w14:paraId="2BEE1EB5">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2 检验依据</w:t>
      </w:r>
    </w:p>
    <w:p w14:paraId="2F6FBFD0">
      <w:pPr>
        <w:adjustRightInd w:val="0"/>
        <w:snapToGrid w:val="0"/>
        <w:spacing w:before="156" w:beforeLines="50" w:line="360" w:lineRule="auto"/>
        <w:rPr>
          <w:rFonts w:hint="default" w:ascii="Times New Roman" w:hAnsi="Times New Roman" w:cs="Times New Roman"/>
        </w:rPr>
      </w:pPr>
      <w:r>
        <w:rPr>
          <w:rFonts w:hint="default" w:ascii="Times New Roman" w:hAnsi="Times New Roman" w:eastAsia="黑体" w:cs="Times New Roman"/>
          <w:szCs w:val="21"/>
        </w:rPr>
        <w:t>2.1</w:t>
      </w:r>
      <w:r>
        <w:rPr>
          <w:rFonts w:hint="default" w:ascii="Times New Roman" w:hAnsi="Times New Roman" w:cs="Times New Roman"/>
        </w:rPr>
        <w:t>工业电动食品加工设备</w:t>
      </w:r>
    </w:p>
    <w:tbl>
      <w:tblPr>
        <w:tblStyle w:val="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8"/>
        <w:gridCol w:w="4166"/>
        <w:gridCol w:w="1962"/>
        <w:gridCol w:w="2300"/>
      </w:tblGrid>
      <w:tr w14:paraId="108D2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blHeader/>
        </w:trPr>
        <w:tc>
          <w:tcPr>
            <w:tcW w:w="347" w:type="pct"/>
            <w:vAlign w:val="center"/>
          </w:tcPr>
          <w:p w14:paraId="3EFBA220">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序号</w:t>
            </w:r>
          </w:p>
        </w:tc>
        <w:tc>
          <w:tcPr>
            <w:tcW w:w="2300" w:type="pct"/>
            <w:vAlign w:val="center"/>
          </w:tcPr>
          <w:p w14:paraId="7389969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检验项目</w:t>
            </w:r>
          </w:p>
        </w:tc>
        <w:tc>
          <w:tcPr>
            <w:tcW w:w="1083" w:type="pct"/>
            <w:vAlign w:val="center"/>
          </w:tcPr>
          <w:p w14:paraId="4388BD2A">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color w:val="auto"/>
                <w:szCs w:val="21"/>
              </w:rPr>
              <w:t>检验依据</w:t>
            </w:r>
          </w:p>
        </w:tc>
        <w:tc>
          <w:tcPr>
            <w:tcW w:w="1268" w:type="pct"/>
            <w:shd w:val="clear" w:color="auto" w:fill="auto"/>
            <w:vAlign w:val="center"/>
          </w:tcPr>
          <w:p w14:paraId="35D1E87B">
            <w:pPr>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检验方法</w:t>
            </w:r>
          </w:p>
        </w:tc>
      </w:tr>
      <w:tr w14:paraId="5993B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7CB5609F">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7E95BAD6">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砷</w:t>
            </w:r>
          </w:p>
        </w:tc>
        <w:tc>
          <w:tcPr>
            <w:tcW w:w="1083" w:type="pct"/>
            <w:vAlign w:val="center"/>
          </w:tcPr>
          <w:p w14:paraId="48F08E6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268" w:type="pct"/>
            <w:shd w:val="clear" w:color="auto" w:fill="auto"/>
            <w:vAlign w:val="center"/>
          </w:tcPr>
          <w:p w14:paraId="1F8E7CBC">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7F04E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550115F3">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6E738E5A">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镉</w:t>
            </w:r>
          </w:p>
        </w:tc>
        <w:tc>
          <w:tcPr>
            <w:tcW w:w="1083" w:type="pct"/>
            <w:vAlign w:val="center"/>
          </w:tcPr>
          <w:p w14:paraId="5B42650F">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268" w:type="pct"/>
            <w:shd w:val="clear" w:color="auto" w:fill="auto"/>
            <w:vAlign w:val="center"/>
          </w:tcPr>
          <w:p w14:paraId="577B2338">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58E9B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3C1CC4BE">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140A3733">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铅</w:t>
            </w:r>
          </w:p>
        </w:tc>
        <w:tc>
          <w:tcPr>
            <w:tcW w:w="1083" w:type="pct"/>
            <w:vAlign w:val="center"/>
          </w:tcPr>
          <w:p w14:paraId="781C314F">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268" w:type="pct"/>
            <w:shd w:val="clear" w:color="auto" w:fill="auto"/>
            <w:vAlign w:val="center"/>
          </w:tcPr>
          <w:p w14:paraId="475D9954">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6B05E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4EFB3187">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2FD1BB4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镍</w:t>
            </w:r>
          </w:p>
        </w:tc>
        <w:tc>
          <w:tcPr>
            <w:tcW w:w="1083" w:type="pct"/>
            <w:vAlign w:val="center"/>
          </w:tcPr>
          <w:p w14:paraId="07C49116">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268" w:type="pct"/>
            <w:shd w:val="clear" w:color="auto" w:fill="auto"/>
            <w:vAlign w:val="center"/>
          </w:tcPr>
          <w:p w14:paraId="5000BE89">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606C9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6EF7F8E8">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4B8E5F7F">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铬</w:t>
            </w:r>
          </w:p>
        </w:tc>
        <w:tc>
          <w:tcPr>
            <w:tcW w:w="1083" w:type="pct"/>
            <w:vAlign w:val="center"/>
          </w:tcPr>
          <w:p w14:paraId="2877FAC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268" w:type="pct"/>
            <w:shd w:val="clear" w:color="auto" w:fill="auto"/>
            <w:vAlign w:val="center"/>
          </w:tcPr>
          <w:p w14:paraId="5587CF4D">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531B6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2B3B8B9E">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3368B7CA">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锑</w:t>
            </w:r>
          </w:p>
        </w:tc>
        <w:tc>
          <w:tcPr>
            <w:tcW w:w="1083" w:type="pct"/>
            <w:vAlign w:val="center"/>
          </w:tcPr>
          <w:p w14:paraId="3CC85E83">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268" w:type="pct"/>
            <w:shd w:val="clear" w:color="auto" w:fill="auto"/>
            <w:vAlign w:val="center"/>
          </w:tcPr>
          <w:p w14:paraId="1DE0C561">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6DF7C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4D328152">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2630119B">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铝</w:t>
            </w:r>
          </w:p>
        </w:tc>
        <w:tc>
          <w:tcPr>
            <w:tcW w:w="1083" w:type="pct"/>
            <w:vAlign w:val="center"/>
          </w:tcPr>
          <w:p w14:paraId="0858A072">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268" w:type="pct"/>
            <w:shd w:val="clear" w:color="auto" w:fill="auto"/>
            <w:vAlign w:val="center"/>
          </w:tcPr>
          <w:p w14:paraId="20BE09FB">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52CAF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25306F86">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3D12B665">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钴</w:t>
            </w:r>
          </w:p>
        </w:tc>
        <w:tc>
          <w:tcPr>
            <w:tcW w:w="1083" w:type="pct"/>
            <w:vAlign w:val="center"/>
          </w:tcPr>
          <w:p w14:paraId="664BDD5E">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268" w:type="pct"/>
            <w:shd w:val="clear" w:color="auto" w:fill="auto"/>
            <w:vAlign w:val="center"/>
          </w:tcPr>
          <w:p w14:paraId="03BFE773">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089C7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64DBF7B0">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533E4CFB">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铜</w:t>
            </w:r>
          </w:p>
        </w:tc>
        <w:tc>
          <w:tcPr>
            <w:tcW w:w="1083" w:type="pct"/>
            <w:vAlign w:val="center"/>
          </w:tcPr>
          <w:p w14:paraId="3B10EC18">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268" w:type="pct"/>
            <w:shd w:val="clear" w:color="auto" w:fill="auto"/>
            <w:vAlign w:val="center"/>
          </w:tcPr>
          <w:p w14:paraId="7E60704A">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11745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514D8D9E">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5863054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锰</w:t>
            </w:r>
          </w:p>
        </w:tc>
        <w:tc>
          <w:tcPr>
            <w:tcW w:w="1083" w:type="pct"/>
            <w:vAlign w:val="center"/>
          </w:tcPr>
          <w:p w14:paraId="781D3D8F">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268" w:type="pct"/>
            <w:shd w:val="clear" w:color="auto" w:fill="auto"/>
            <w:vAlign w:val="center"/>
          </w:tcPr>
          <w:p w14:paraId="719D4E02">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785D9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1E84F057">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6EDB1360">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钼</w:t>
            </w:r>
          </w:p>
        </w:tc>
        <w:tc>
          <w:tcPr>
            <w:tcW w:w="1083" w:type="pct"/>
            <w:vAlign w:val="center"/>
          </w:tcPr>
          <w:p w14:paraId="0967F00E">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268" w:type="pct"/>
            <w:shd w:val="clear" w:color="auto" w:fill="auto"/>
            <w:vAlign w:val="center"/>
          </w:tcPr>
          <w:p w14:paraId="4678ACC4">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60733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0A8F82B2">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55565586">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锡</w:t>
            </w:r>
          </w:p>
        </w:tc>
        <w:tc>
          <w:tcPr>
            <w:tcW w:w="1083" w:type="pct"/>
            <w:vAlign w:val="center"/>
          </w:tcPr>
          <w:p w14:paraId="12D5699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268" w:type="pct"/>
            <w:shd w:val="clear" w:color="auto" w:fill="auto"/>
            <w:vAlign w:val="center"/>
          </w:tcPr>
          <w:p w14:paraId="7C901B04">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5748C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3CEA9F17">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404A1CA0">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锌</w:t>
            </w:r>
          </w:p>
        </w:tc>
        <w:tc>
          <w:tcPr>
            <w:tcW w:w="1083" w:type="pct"/>
            <w:vAlign w:val="center"/>
          </w:tcPr>
          <w:p w14:paraId="123849E5">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268" w:type="pct"/>
            <w:shd w:val="clear" w:color="auto" w:fill="auto"/>
            <w:vAlign w:val="center"/>
          </w:tcPr>
          <w:p w14:paraId="711D6B44">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79A1F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46BCFE4F">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006CD11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原材料要求(材料成分)</w:t>
            </w:r>
          </w:p>
        </w:tc>
        <w:tc>
          <w:tcPr>
            <w:tcW w:w="1083" w:type="pct"/>
            <w:vAlign w:val="center"/>
          </w:tcPr>
          <w:p w14:paraId="32DE8CD2">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268" w:type="pct"/>
            <w:shd w:val="clear" w:color="auto" w:fill="auto"/>
            <w:vAlign w:val="center"/>
          </w:tcPr>
          <w:p w14:paraId="26987E5D">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223（相关部分）</w:t>
            </w:r>
          </w:p>
        </w:tc>
      </w:tr>
      <w:tr w14:paraId="0E10F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4CD441FB">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4BDD4F4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总迁移量</w:t>
            </w:r>
          </w:p>
        </w:tc>
        <w:tc>
          <w:tcPr>
            <w:tcW w:w="1083" w:type="pct"/>
            <w:shd w:val="clear" w:color="auto" w:fill="FFFFFF"/>
            <w:vAlign w:val="center"/>
          </w:tcPr>
          <w:p w14:paraId="4F5B2F1B">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268" w:type="pct"/>
            <w:shd w:val="clear" w:color="auto" w:fill="FFFFFF"/>
            <w:vAlign w:val="center"/>
          </w:tcPr>
          <w:p w14:paraId="12F725E0">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31604.8—2021</w:t>
            </w:r>
          </w:p>
        </w:tc>
      </w:tr>
      <w:tr w14:paraId="42924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2B8ECA4D">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14FA578A">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高锰酸钾消耗量</w:t>
            </w:r>
          </w:p>
        </w:tc>
        <w:tc>
          <w:tcPr>
            <w:tcW w:w="1083" w:type="pct"/>
            <w:shd w:val="clear" w:color="auto" w:fill="FFFFFF"/>
            <w:vAlign w:val="center"/>
          </w:tcPr>
          <w:p w14:paraId="6F6B4F90">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268" w:type="pct"/>
            <w:shd w:val="clear" w:color="auto" w:fill="FFFFFF"/>
            <w:vAlign w:val="center"/>
          </w:tcPr>
          <w:p w14:paraId="7ADA8E9E">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31604.2—2016</w:t>
            </w:r>
          </w:p>
        </w:tc>
      </w:tr>
      <w:tr w14:paraId="621AD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7AFA9889">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2875DBE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重金属（以Pb计）</w:t>
            </w:r>
          </w:p>
        </w:tc>
        <w:tc>
          <w:tcPr>
            <w:tcW w:w="1083" w:type="pct"/>
            <w:shd w:val="clear" w:color="auto" w:fill="FFFFFF"/>
            <w:vAlign w:val="center"/>
          </w:tcPr>
          <w:p w14:paraId="090AC4E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268" w:type="pct"/>
            <w:shd w:val="clear" w:color="auto" w:fill="FFFFFF"/>
            <w:vAlign w:val="center"/>
          </w:tcPr>
          <w:p w14:paraId="549AEE1F">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31604.9—2016</w:t>
            </w:r>
          </w:p>
        </w:tc>
      </w:tr>
      <w:tr w14:paraId="55358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7DDF807D">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4A5B8BF2">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脱色试验</w:t>
            </w:r>
          </w:p>
        </w:tc>
        <w:tc>
          <w:tcPr>
            <w:tcW w:w="1083" w:type="pct"/>
            <w:shd w:val="clear" w:color="auto" w:fill="FFFFFF"/>
            <w:vAlign w:val="center"/>
          </w:tcPr>
          <w:p w14:paraId="30C0FED5">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268" w:type="pct"/>
            <w:shd w:val="clear" w:color="auto" w:fill="FFFFFF"/>
            <w:vAlign w:val="center"/>
          </w:tcPr>
          <w:p w14:paraId="6A7C5031">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31604.7—2023</w:t>
            </w:r>
          </w:p>
        </w:tc>
      </w:tr>
      <w:tr w14:paraId="43F03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04E85B77">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2EC7C40F">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芳香族伯胺迁移总量</w:t>
            </w:r>
          </w:p>
        </w:tc>
        <w:tc>
          <w:tcPr>
            <w:tcW w:w="1083" w:type="pct"/>
            <w:shd w:val="clear" w:color="auto" w:fill="FFFFFF"/>
            <w:vAlign w:val="center"/>
          </w:tcPr>
          <w:p w14:paraId="0E959AF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268" w:type="pct"/>
            <w:shd w:val="clear" w:color="auto" w:fill="FFFFFF"/>
            <w:vAlign w:val="center"/>
          </w:tcPr>
          <w:p w14:paraId="3E7DBDD9">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31604.52—2021</w:t>
            </w:r>
          </w:p>
        </w:tc>
      </w:tr>
      <w:tr w14:paraId="7D0B5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26F01546">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6CDC7672">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特定迁移总量（以己内酰胺计）（限PA材质）</w:t>
            </w:r>
          </w:p>
        </w:tc>
        <w:tc>
          <w:tcPr>
            <w:tcW w:w="1083" w:type="pct"/>
            <w:shd w:val="clear" w:color="auto" w:fill="FFFFFF"/>
            <w:vAlign w:val="center"/>
          </w:tcPr>
          <w:p w14:paraId="7EFB2DB6">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268" w:type="pct"/>
            <w:shd w:val="clear" w:color="auto" w:fill="FFFFFF"/>
            <w:vAlign w:val="center"/>
          </w:tcPr>
          <w:p w14:paraId="1CE8BC57">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31604.19—2016</w:t>
            </w:r>
          </w:p>
        </w:tc>
      </w:tr>
      <w:tr w14:paraId="2C737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428AC83C">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7776E12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氯乙烯特定迁移量（限PVC、PVDC材质）</w:t>
            </w:r>
          </w:p>
        </w:tc>
        <w:tc>
          <w:tcPr>
            <w:tcW w:w="1083" w:type="pct"/>
            <w:shd w:val="clear" w:color="auto" w:fill="FFFFFF"/>
            <w:vAlign w:val="center"/>
          </w:tcPr>
          <w:p w14:paraId="57AE6354">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268" w:type="pct"/>
            <w:shd w:val="clear" w:color="auto" w:fill="FFFFFF"/>
            <w:vAlign w:val="center"/>
          </w:tcPr>
          <w:p w14:paraId="105C2B7E">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31604.31—20</w:t>
            </w:r>
            <w:r>
              <w:rPr>
                <w:rFonts w:hint="default" w:ascii="Times New Roman" w:hAnsi="Times New Roman" w:cs="Times New Roman"/>
                <w:color w:val="000000" w:themeColor="text1"/>
                <w:highlight w:val="none"/>
                <w:lang w:val="en-US" w:eastAsia="zh-CN"/>
                <w14:textFill>
                  <w14:solidFill>
                    <w14:schemeClr w14:val="tx1"/>
                  </w14:solidFill>
                </w14:textFill>
              </w:rPr>
              <w:t>25</w:t>
            </w:r>
          </w:p>
        </w:tc>
      </w:tr>
      <w:tr w14:paraId="54E39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719FAF22">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0B75EF11">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1，1-二氯乙烯</w:t>
            </w:r>
            <w:r>
              <w:rPr>
                <w:rFonts w:hint="default" w:ascii="Times New Roman" w:hAnsi="Times New Roman" w:cs="Times New Roman"/>
                <w:color w:val="000000" w:themeColor="text1"/>
                <w:highlight w:val="none"/>
                <w14:textFill>
                  <w14:solidFill>
                    <w14:schemeClr w14:val="tx1"/>
                  </w14:solidFill>
                </w14:textFill>
              </w:rPr>
              <w:t>特定迁移量（限PVDC材质）</w:t>
            </w:r>
          </w:p>
        </w:tc>
        <w:tc>
          <w:tcPr>
            <w:tcW w:w="1083" w:type="pct"/>
            <w:shd w:val="clear" w:color="auto" w:fill="FFFFFF"/>
            <w:vAlign w:val="center"/>
          </w:tcPr>
          <w:p w14:paraId="2C73E610">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268" w:type="pct"/>
            <w:shd w:val="clear" w:color="auto" w:fill="FFFFFF"/>
            <w:vAlign w:val="center"/>
          </w:tcPr>
          <w:p w14:paraId="4428A30E">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31604.31—20</w:t>
            </w:r>
            <w:r>
              <w:rPr>
                <w:rFonts w:hint="default" w:ascii="Times New Roman" w:hAnsi="Times New Roman" w:cs="Times New Roman"/>
                <w:color w:val="000000" w:themeColor="text1"/>
                <w:highlight w:val="none"/>
                <w:lang w:val="en-US" w:eastAsia="zh-CN"/>
                <w14:textFill>
                  <w14:solidFill>
                    <w14:schemeClr w14:val="tx1"/>
                  </w14:solidFill>
                </w14:textFill>
              </w:rPr>
              <w:t>25</w:t>
            </w:r>
          </w:p>
        </w:tc>
      </w:tr>
      <w:tr w14:paraId="44E44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0542D707">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4447F6E5">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1，1-二氯乙烷</w:t>
            </w:r>
            <w:r>
              <w:rPr>
                <w:rFonts w:hint="default" w:ascii="Times New Roman" w:hAnsi="Times New Roman" w:cs="Times New Roman"/>
                <w:color w:val="000000" w:themeColor="text1"/>
                <w:highlight w:val="none"/>
                <w14:textFill>
                  <w14:solidFill>
                    <w14:schemeClr w14:val="tx1"/>
                  </w14:solidFill>
                </w14:textFill>
              </w:rPr>
              <w:t>特定迁移量（限PVC材质）</w:t>
            </w:r>
          </w:p>
        </w:tc>
        <w:tc>
          <w:tcPr>
            <w:tcW w:w="1083" w:type="pct"/>
            <w:shd w:val="clear" w:color="auto" w:fill="FFFFFF"/>
            <w:vAlign w:val="center"/>
          </w:tcPr>
          <w:p w14:paraId="76B32F6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268" w:type="pct"/>
            <w:shd w:val="clear" w:color="auto" w:fill="FFFFFF"/>
            <w:vAlign w:val="center"/>
          </w:tcPr>
          <w:p w14:paraId="08E4C9F7">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31604.31—20</w:t>
            </w:r>
            <w:r>
              <w:rPr>
                <w:rFonts w:hint="default" w:ascii="Times New Roman" w:hAnsi="Times New Roman" w:cs="Times New Roman"/>
                <w:color w:val="000000" w:themeColor="text1"/>
                <w:highlight w:val="none"/>
                <w:lang w:val="en-US" w:eastAsia="zh-CN"/>
                <w14:textFill>
                  <w14:solidFill>
                    <w14:schemeClr w14:val="tx1"/>
                  </w14:solidFill>
                </w14:textFill>
              </w:rPr>
              <w:t>25</w:t>
            </w:r>
          </w:p>
        </w:tc>
      </w:tr>
      <w:tr w14:paraId="006BC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03A6305B">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674BD566">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特定迁移总量（以对苯二甲酸计）（限PET、PBT材质）</w:t>
            </w:r>
          </w:p>
        </w:tc>
        <w:tc>
          <w:tcPr>
            <w:tcW w:w="1083" w:type="pct"/>
            <w:shd w:val="clear" w:color="auto" w:fill="FFFFFF"/>
            <w:vAlign w:val="center"/>
          </w:tcPr>
          <w:p w14:paraId="2216B663">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268" w:type="pct"/>
            <w:shd w:val="clear" w:color="auto" w:fill="FFFFFF"/>
            <w:vAlign w:val="center"/>
          </w:tcPr>
          <w:p w14:paraId="5AEF0CAA">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31604.21—20</w:t>
            </w:r>
            <w:r>
              <w:rPr>
                <w:rFonts w:hint="default" w:ascii="Times New Roman" w:hAnsi="Times New Roman" w:cs="Times New Roman"/>
                <w:color w:val="000000" w:themeColor="text1"/>
                <w:highlight w:val="none"/>
                <w:lang w:val="en-US" w:eastAsia="zh-CN"/>
                <w14:textFill>
                  <w14:solidFill>
                    <w14:schemeClr w14:val="tx1"/>
                  </w14:solidFill>
                </w14:textFill>
              </w:rPr>
              <w:t>25</w:t>
            </w:r>
          </w:p>
        </w:tc>
      </w:tr>
      <w:tr w14:paraId="29726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2F2998A5">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609EEA5C">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特定迁移总量（以</w:t>
            </w:r>
            <w:r>
              <w:rPr>
                <w:rFonts w:hint="default" w:ascii="Times New Roman" w:hAnsi="Times New Roman" w:cs="Times New Roman"/>
                <w:color w:val="000000" w:themeColor="text1"/>
                <w:highlight w:val="none"/>
                <w:lang w:val="en-US" w:eastAsia="zh-CN"/>
                <w14:textFill>
                  <w14:solidFill>
                    <w14:schemeClr w14:val="tx1"/>
                  </w14:solidFill>
                </w14:textFill>
              </w:rPr>
              <w:t>间</w:t>
            </w:r>
            <w:r>
              <w:rPr>
                <w:rFonts w:hint="default" w:ascii="Times New Roman" w:hAnsi="Times New Roman" w:cs="Times New Roman"/>
                <w:color w:val="000000" w:themeColor="text1"/>
                <w:highlight w:val="none"/>
                <w14:textFill>
                  <w14:solidFill>
                    <w14:schemeClr w14:val="tx1"/>
                  </w14:solidFill>
                </w14:textFill>
              </w:rPr>
              <w:t>苯二甲酸计）（限PET材质）</w:t>
            </w:r>
          </w:p>
        </w:tc>
        <w:tc>
          <w:tcPr>
            <w:tcW w:w="1083" w:type="pct"/>
            <w:shd w:val="clear" w:color="auto" w:fill="FFFFFF"/>
            <w:vAlign w:val="center"/>
          </w:tcPr>
          <w:p w14:paraId="39AB65E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268" w:type="pct"/>
            <w:shd w:val="clear" w:color="auto" w:fill="FFFFFF"/>
            <w:vAlign w:val="center"/>
          </w:tcPr>
          <w:p w14:paraId="4B73B644">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31604.21—</w:t>
            </w:r>
            <w:r>
              <w:rPr>
                <w:rFonts w:hint="default" w:ascii="Times New Roman" w:hAnsi="Times New Roman" w:cs="Times New Roman"/>
                <w:color w:val="000000" w:themeColor="text1"/>
                <w:highlight w:val="none"/>
                <w:lang w:val="en-US" w:eastAsia="zh-CN"/>
                <w14:textFill>
                  <w14:solidFill>
                    <w14:schemeClr w14:val="tx1"/>
                  </w14:solidFill>
                </w14:textFill>
              </w:rPr>
              <w:t>2025</w:t>
            </w:r>
          </w:p>
        </w:tc>
      </w:tr>
      <w:tr w14:paraId="63BD1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26E13061">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6E6F359E">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特定迁移总量（以1,2</w:t>
            </w:r>
            <w:r>
              <w:rPr>
                <w:rFonts w:hint="eastAsia" w:ascii="Times New Roman" w:hAnsi="Times New Roman" w:cs="Times New Roman"/>
                <w:color w:val="000000" w:themeColor="text1"/>
                <w:highlight w:val="none"/>
                <w:lang w:val="en-US"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乙二醇计）（限PET材质）</w:t>
            </w:r>
          </w:p>
        </w:tc>
        <w:tc>
          <w:tcPr>
            <w:tcW w:w="1083" w:type="pct"/>
            <w:shd w:val="clear" w:color="auto" w:fill="FFFFFF"/>
            <w:vAlign w:val="center"/>
          </w:tcPr>
          <w:p w14:paraId="4404DB9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268" w:type="pct"/>
            <w:shd w:val="clear" w:color="auto" w:fill="FFFFFF"/>
            <w:vAlign w:val="center"/>
          </w:tcPr>
          <w:p w14:paraId="3C434CF0">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31604.44—2016</w:t>
            </w:r>
          </w:p>
        </w:tc>
      </w:tr>
      <w:tr w14:paraId="0D6C3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2A6F7D8C">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6FE43170">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特定迁移总量（以1,4</w:t>
            </w:r>
            <w:r>
              <w:rPr>
                <w:rFonts w:hint="eastAsia" w:ascii="Times New Roman" w:hAnsi="Times New Roman" w:cs="Times New Roman"/>
                <w:color w:val="000000" w:themeColor="text1"/>
                <w:highlight w:val="none"/>
                <w:lang w:val="en-US"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丁二醇计）（限PBT材质）</w:t>
            </w:r>
          </w:p>
        </w:tc>
        <w:tc>
          <w:tcPr>
            <w:tcW w:w="1083" w:type="pct"/>
            <w:shd w:val="clear" w:color="auto" w:fill="FFFFFF"/>
            <w:vAlign w:val="center"/>
          </w:tcPr>
          <w:p w14:paraId="34A3BA25">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268" w:type="pct"/>
            <w:shd w:val="clear" w:color="auto" w:fill="FFFFFF"/>
            <w:vAlign w:val="center"/>
          </w:tcPr>
          <w:p w14:paraId="3E810103">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31604.51—2021</w:t>
            </w:r>
          </w:p>
        </w:tc>
      </w:tr>
      <w:tr w14:paraId="4D318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2C5AD63B">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0A9AFFDF">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1,3</w:t>
            </w:r>
            <w:r>
              <w:rPr>
                <w:rFonts w:hint="eastAsia" w:ascii="Times New Roman" w:hAnsi="Times New Roman" w:cs="Times New Roman"/>
                <w:color w:val="000000" w:themeColor="text1"/>
                <w:highlight w:val="none"/>
                <w:lang w:val="en-US"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丁二烯特定迁移量（限有丁二烯单体的聚合物）</w:t>
            </w:r>
          </w:p>
        </w:tc>
        <w:tc>
          <w:tcPr>
            <w:tcW w:w="1083" w:type="pct"/>
            <w:shd w:val="clear" w:color="auto" w:fill="FFFFFF"/>
            <w:vAlign w:val="center"/>
          </w:tcPr>
          <w:p w14:paraId="2EF41C71">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268" w:type="pct"/>
            <w:shd w:val="clear" w:color="auto" w:fill="FFFFFF"/>
            <w:vAlign w:val="center"/>
          </w:tcPr>
          <w:p w14:paraId="046A1E69">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31604.12—2016</w:t>
            </w:r>
          </w:p>
        </w:tc>
      </w:tr>
      <w:tr w14:paraId="6A01C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13C3F6AD">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138A8105">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邻苯类增塑剂特定迁移量（限PVC材质）</w:t>
            </w:r>
          </w:p>
        </w:tc>
        <w:tc>
          <w:tcPr>
            <w:tcW w:w="1083" w:type="pct"/>
            <w:shd w:val="clear" w:color="auto" w:fill="FFFFFF"/>
            <w:vAlign w:val="center"/>
          </w:tcPr>
          <w:p w14:paraId="1B97949C">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268" w:type="pct"/>
            <w:shd w:val="clear" w:color="auto" w:fill="FFFFFF"/>
            <w:vAlign w:val="center"/>
          </w:tcPr>
          <w:p w14:paraId="0D72F076">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31604.30—20</w:t>
            </w:r>
            <w:r>
              <w:rPr>
                <w:rFonts w:hint="default" w:ascii="Times New Roman" w:hAnsi="Times New Roman" w:cs="Times New Roman"/>
                <w:color w:val="000000" w:themeColor="text1"/>
                <w:highlight w:val="none"/>
                <w:lang w:val="en-US" w:eastAsia="zh-CN"/>
                <w14:textFill>
                  <w14:solidFill>
                    <w14:schemeClr w14:val="tx1"/>
                  </w14:solidFill>
                </w14:textFill>
              </w:rPr>
              <w:t>25</w:t>
            </w:r>
          </w:p>
        </w:tc>
      </w:tr>
      <w:tr w14:paraId="63D23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67EE6435">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5946BB8E">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总迁移量</w:t>
            </w:r>
          </w:p>
        </w:tc>
        <w:tc>
          <w:tcPr>
            <w:tcW w:w="1083" w:type="pct"/>
            <w:shd w:val="clear" w:color="auto" w:fill="FFFFFF"/>
            <w:vAlign w:val="center"/>
          </w:tcPr>
          <w:p w14:paraId="2C8C0EF4">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 xml:space="preserve">GB 4806.11—2023 </w:t>
            </w:r>
          </w:p>
        </w:tc>
        <w:tc>
          <w:tcPr>
            <w:tcW w:w="1268" w:type="pct"/>
            <w:shd w:val="clear" w:color="auto" w:fill="FFFFFF"/>
            <w:vAlign w:val="center"/>
          </w:tcPr>
          <w:p w14:paraId="2BE29A44">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31604.8—2021</w:t>
            </w:r>
          </w:p>
        </w:tc>
      </w:tr>
      <w:tr w14:paraId="2B13B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0E2AB65C">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5766366C">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高锰酸钾消耗量</w:t>
            </w:r>
          </w:p>
        </w:tc>
        <w:tc>
          <w:tcPr>
            <w:tcW w:w="1083" w:type="pct"/>
            <w:shd w:val="clear" w:color="auto" w:fill="FFFFFF"/>
            <w:vAlign w:val="center"/>
          </w:tcPr>
          <w:p w14:paraId="394E2566">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 xml:space="preserve">GB 4806.11—2023 </w:t>
            </w:r>
          </w:p>
        </w:tc>
        <w:tc>
          <w:tcPr>
            <w:tcW w:w="1268" w:type="pct"/>
            <w:shd w:val="clear" w:color="auto" w:fill="FFFFFF"/>
            <w:vAlign w:val="center"/>
          </w:tcPr>
          <w:p w14:paraId="610AC73F">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31604.2—2016</w:t>
            </w:r>
          </w:p>
        </w:tc>
      </w:tr>
      <w:tr w14:paraId="5EA42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128B6EA6">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0C26017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重金属（以Pb计）</w:t>
            </w:r>
          </w:p>
        </w:tc>
        <w:tc>
          <w:tcPr>
            <w:tcW w:w="1083" w:type="pct"/>
            <w:shd w:val="clear" w:color="auto" w:fill="FFFFFF"/>
            <w:vAlign w:val="center"/>
          </w:tcPr>
          <w:p w14:paraId="18456508">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 xml:space="preserve">GB 4806.11—2023 </w:t>
            </w:r>
          </w:p>
        </w:tc>
        <w:tc>
          <w:tcPr>
            <w:tcW w:w="1268" w:type="pct"/>
            <w:shd w:val="clear" w:color="auto" w:fill="FFFFFF"/>
            <w:vAlign w:val="center"/>
          </w:tcPr>
          <w:p w14:paraId="04FFFF12">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31604.9—2016</w:t>
            </w:r>
          </w:p>
        </w:tc>
      </w:tr>
      <w:tr w14:paraId="1D3D3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0FDD80C2">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522B497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芳香族伯胺迁移总量</w:t>
            </w:r>
          </w:p>
        </w:tc>
        <w:tc>
          <w:tcPr>
            <w:tcW w:w="1083" w:type="pct"/>
            <w:shd w:val="clear" w:color="auto" w:fill="FFFFFF"/>
            <w:vAlign w:val="center"/>
          </w:tcPr>
          <w:p w14:paraId="1BFD0BD6">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 xml:space="preserve">GB 4806.11—2023 </w:t>
            </w:r>
          </w:p>
        </w:tc>
        <w:tc>
          <w:tcPr>
            <w:tcW w:w="1268" w:type="pct"/>
            <w:shd w:val="clear" w:color="auto" w:fill="FFFFFF"/>
            <w:vAlign w:val="center"/>
          </w:tcPr>
          <w:p w14:paraId="045AAF67">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31604.52—2021</w:t>
            </w:r>
          </w:p>
        </w:tc>
      </w:tr>
      <w:tr w14:paraId="50DDA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069A45BB">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1AAD4C1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N</w:t>
            </w:r>
            <w:r>
              <w:rPr>
                <w:rFonts w:hint="eastAsia" w:ascii="Times New Roman" w:hAnsi="Times New Roman" w:cs="Times New Roman"/>
                <w:color w:val="000000" w:themeColor="text1"/>
                <w:highlight w:val="none"/>
                <w:lang w:val="en-US"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亚硝胺和N</w:t>
            </w:r>
            <w:r>
              <w:rPr>
                <w:rFonts w:hint="eastAsia" w:ascii="Times New Roman" w:hAnsi="Times New Roman" w:cs="Times New Roman"/>
                <w:color w:val="000000" w:themeColor="text1"/>
                <w:highlight w:val="none"/>
                <w:lang w:val="en-US"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亚硝胺可生成物迁移总量</w:t>
            </w:r>
          </w:p>
        </w:tc>
        <w:tc>
          <w:tcPr>
            <w:tcW w:w="1083" w:type="pct"/>
            <w:shd w:val="clear" w:color="auto" w:fill="FFFFFF"/>
            <w:vAlign w:val="center"/>
          </w:tcPr>
          <w:p w14:paraId="1985C431">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 xml:space="preserve">GB 4806.11—2023 </w:t>
            </w:r>
          </w:p>
        </w:tc>
        <w:tc>
          <w:tcPr>
            <w:tcW w:w="1268" w:type="pct"/>
            <w:shd w:val="clear" w:color="auto" w:fill="FFFFFF"/>
            <w:vAlign w:val="center"/>
          </w:tcPr>
          <w:p w14:paraId="6CBF52B4">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w:t>
            </w:r>
            <w:r>
              <w:rPr>
                <w:rFonts w:hint="default" w:ascii="Times New Roman" w:hAnsi="Times New Roman" w:cs="Times New Roman"/>
                <w:color w:val="000000" w:themeColor="text1"/>
                <w:highlight w:val="none"/>
                <w:lang w:val="en-US" w:eastAsia="zh-CN"/>
                <w14:textFill>
                  <w14:solidFill>
                    <w14:schemeClr w14:val="tx1"/>
                  </w14:solidFill>
                </w14:textFill>
              </w:rPr>
              <w:t>6</w:t>
            </w:r>
            <w:r>
              <w:rPr>
                <w:rFonts w:hint="default" w:ascii="Times New Roman" w:hAnsi="Times New Roman" w:cs="Times New Roman"/>
                <w:color w:val="000000" w:themeColor="text1"/>
                <w:highlight w:val="none"/>
                <w14:textFill>
                  <w14:solidFill>
                    <w14:schemeClr w14:val="tx1"/>
                  </w14:solidFill>
                </w14:textFill>
              </w:rPr>
              <w:t>2—202</w:t>
            </w:r>
            <w:r>
              <w:rPr>
                <w:rFonts w:hint="default" w:ascii="Times New Roman" w:hAnsi="Times New Roman" w:cs="Times New Roman"/>
                <w:color w:val="000000" w:themeColor="text1"/>
                <w:highlight w:val="none"/>
                <w:lang w:val="en-US" w:eastAsia="zh-CN"/>
                <w14:textFill>
                  <w14:solidFill>
                    <w14:schemeClr w14:val="tx1"/>
                  </w14:solidFill>
                </w14:textFill>
              </w:rPr>
              <w:t>5</w:t>
            </w:r>
          </w:p>
        </w:tc>
      </w:tr>
      <w:tr w14:paraId="08FC0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7746C19B">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0C3B12DA">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总迁移量</w:t>
            </w:r>
          </w:p>
        </w:tc>
        <w:tc>
          <w:tcPr>
            <w:tcW w:w="1083" w:type="pct"/>
            <w:shd w:val="clear" w:color="auto" w:fill="FFFFFF"/>
            <w:vAlign w:val="center"/>
          </w:tcPr>
          <w:p w14:paraId="1D3F59FB">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4806.11—2016</w:t>
            </w:r>
          </w:p>
          <w:p w14:paraId="7E30799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4806.16—2025</w:t>
            </w:r>
          </w:p>
        </w:tc>
        <w:tc>
          <w:tcPr>
            <w:tcW w:w="1268" w:type="pct"/>
            <w:shd w:val="clear" w:color="auto" w:fill="FFFFFF"/>
            <w:vAlign w:val="center"/>
          </w:tcPr>
          <w:p w14:paraId="73EAF7C2">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31604.8—2021</w:t>
            </w:r>
          </w:p>
        </w:tc>
      </w:tr>
      <w:tr w14:paraId="014FD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178EB054">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5616CF9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高锰酸钾消耗量</w:t>
            </w:r>
          </w:p>
        </w:tc>
        <w:tc>
          <w:tcPr>
            <w:tcW w:w="1083" w:type="pct"/>
            <w:shd w:val="clear" w:color="auto" w:fill="FFFFFF"/>
            <w:vAlign w:val="center"/>
          </w:tcPr>
          <w:p w14:paraId="2C610D52">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4806.11—2016</w:t>
            </w:r>
          </w:p>
          <w:p w14:paraId="00BAD7AB">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4806.16—2025</w:t>
            </w:r>
          </w:p>
        </w:tc>
        <w:tc>
          <w:tcPr>
            <w:tcW w:w="1268" w:type="pct"/>
            <w:shd w:val="clear" w:color="auto" w:fill="FFFFFF"/>
            <w:vAlign w:val="center"/>
          </w:tcPr>
          <w:p w14:paraId="49023F0F">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31604.2—2016</w:t>
            </w:r>
          </w:p>
        </w:tc>
      </w:tr>
      <w:tr w14:paraId="4B41E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0E908539">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2EF479E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重金属（以Pb计）</w:t>
            </w:r>
          </w:p>
        </w:tc>
        <w:tc>
          <w:tcPr>
            <w:tcW w:w="1083" w:type="pct"/>
            <w:shd w:val="clear" w:color="auto" w:fill="FFFFFF"/>
            <w:vAlign w:val="center"/>
          </w:tcPr>
          <w:p w14:paraId="2678B782">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4806.11—2016</w:t>
            </w:r>
          </w:p>
          <w:p w14:paraId="635EAF42">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4806.16—2025</w:t>
            </w:r>
          </w:p>
        </w:tc>
        <w:tc>
          <w:tcPr>
            <w:tcW w:w="1268" w:type="pct"/>
            <w:shd w:val="clear" w:color="auto" w:fill="FFFFFF"/>
            <w:vAlign w:val="center"/>
          </w:tcPr>
          <w:p w14:paraId="4B9AE3FF">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31604.9—2016</w:t>
            </w:r>
          </w:p>
        </w:tc>
      </w:tr>
      <w:tr w14:paraId="55713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noWrap w:val="0"/>
            <w:vAlign w:val="center"/>
          </w:tcPr>
          <w:p w14:paraId="23853A6F">
            <w:pPr>
              <w:keepNext w:val="0"/>
              <w:keepLines w:val="0"/>
              <w:pageBreakBefore w:val="0"/>
              <w:widowControl w:val="0"/>
              <w:numPr>
                <w:ilvl w:val="0"/>
                <w:numId w:val="1"/>
              </w:numPr>
              <w:shd w:val="clear" w:color="auto" w:fill="FFFFFF"/>
              <w:kinsoku/>
              <w:wordWrap/>
              <w:overflowPunct/>
              <w:topLinePunct w:val="0"/>
              <w:autoSpaceDE/>
              <w:autoSpaceDN/>
              <w:bidi w:val="0"/>
              <w:adjustRightInd w:val="0"/>
              <w:snapToGrid w:val="0"/>
              <w:ind w:left="0" w:leftChars="0" w:firstLine="105" w:firstLineChars="50"/>
              <w:jc w:val="center"/>
              <w:textAlignment w:val="auto"/>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300" w:type="pct"/>
            <w:shd w:val="clear" w:color="auto" w:fill="FFFFFF"/>
            <w:noWrap w:val="0"/>
            <w:vAlign w:val="center"/>
          </w:tcPr>
          <w:p w14:paraId="3DB46215">
            <w:pPr>
              <w:adjustRightInd w:val="0"/>
              <w:snapToGrid w:val="0"/>
              <w:jc w:val="center"/>
              <w:rPr>
                <w:rFonts w:hint="default" w:ascii="Times New Roman" w:hAnsi="Times New Roman" w:cs="Times New Roman"/>
                <w:color w:val="000000" w:themeColor="text1"/>
                <w:highlight w:val="none"/>
                <w:lang w:eastAsia="zh-CN"/>
                <w14:textFill>
                  <w14:solidFill>
                    <w14:schemeClr w14:val="tx1"/>
                  </w14:solidFill>
                </w14:textFill>
              </w:rPr>
            </w:pPr>
            <w:r>
              <w:rPr>
                <w:rFonts w:hint="default" w:ascii="Times New Roman" w:hAnsi="Times New Roman" w:cs="Times New Roman"/>
                <w:color w:val="000000" w:themeColor="text1"/>
                <w:highlight w:val="none"/>
                <w:lang w:eastAsia="zh-CN"/>
                <w14:textFill>
                  <w14:solidFill>
                    <w14:schemeClr w14:val="tx1"/>
                  </w14:solidFill>
                </w14:textFill>
              </w:rPr>
              <w:t>挥发性物质</w:t>
            </w:r>
          </w:p>
        </w:tc>
        <w:tc>
          <w:tcPr>
            <w:tcW w:w="1083" w:type="pct"/>
            <w:shd w:val="clear" w:color="auto" w:fill="FFFFFF"/>
            <w:noWrap w:val="0"/>
            <w:vAlign w:val="center"/>
          </w:tcPr>
          <w:p w14:paraId="714F0C09">
            <w:pPr>
              <w:adjustRightInd w:val="0"/>
              <w:snapToGrid w:val="0"/>
              <w:jc w:val="center"/>
              <w:rPr>
                <w:rFonts w:hint="default" w:ascii="Times New Roman" w:hAnsi="Times New Roman" w:cs="Times New Roman"/>
                <w:color w:val="000000" w:themeColor="text1"/>
                <w:highlight w:val="none"/>
                <w:lang w:val="en-US"/>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4806.16—2025</w:t>
            </w:r>
          </w:p>
        </w:tc>
        <w:tc>
          <w:tcPr>
            <w:tcW w:w="1268" w:type="pct"/>
            <w:shd w:val="clear" w:color="auto" w:fill="FFFFFF"/>
            <w:noWrap w:val="0"/>
            <w:vAlign w:val="center"/>
          </w:tcPr>
          <w:p w14:paraId="412062E3">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w:t>
            </w:r>
            <w:r>
              <w:rPr>
                <w:rFonts w:hint="default" w:ascii="Times New Roman" w:hAnsi="Times New Roman" w:cs="Times New Roman"/>
                <w:color w:val="000000" w:themeColor="text1"/>
                <w:highlight w:val="none"/>
                <w:lang w:val="en-US" w:eastAsia="zh-CN"/>
                <w14:textFill>
                  <w14:solidFill>
                    <w14:schemeClr w14:val="tx1"/>
                  </w14:solidFill>
                </w14:textFill>
              </w:rPr>
              <w:t>6</w:t>
            </w:r>
            <w:r>
              <w:rPr>
                <w:rFonts w:hint="default" w:ascii="Times New Roman" w:hAnsi="Times New Roman" w:cs="Times New Roman"/>
                <w:color w:val="000000" w:themeColor="text1"/>
                <w:highlight w:val="none"/>
                <w14:textFill>
                  <w14:solidFill>
                    <w14:schemeClr w14:val="tx1"/>
                  </w14:solidFill>
                </w14:textFill>
              </w:rPr>
              <w:t>—202</w:t>
            </w:r>
            <w:r>
              <w:rPr>
                <w:rFonts w:hint="default" w:ascii="Times New Roman" w:hAnsi="Times New Roman" w:cs="Times New Roman"/>
                <w:color w:val="000000" w:themeColor="text1"/>
                <w:highlight w:val="none"/>
                <w:lang w:val="en-US" w:eastAsia="zh-CN"/>
                <w14:textFill>
                  <w14:solidFill>
                    <w14:schemeClr w14:val="tx1"/>
                  </w14:solidFill>
                </w14:textFill>
              </w:rPr>
              <w:t>5</w:t>
            </w:r>
          </w:p>
        </w:tc>
      </w:tr>
      <w:tr w14:paraId="4153D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673CD912">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32A0C950">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结构特性</w:t>
            </w:r>
          </w:p>
        </w:tc>
        <w:tc>
          <w:tcPr>
            <w:tcW w:w="1083" w:type="pct"/>
            <w:vAlign w:val="center"/>
          </w:tcPr>
          <w:p w14:paraId="260E82F1">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16798—2023</w:t>
            </w:r>
          </w:p>
        </w:tc>
        <w:tc>
          <w:tcPr>
            <w:tcW w:w="1268" w:type="pct"/>
            <w:shd w:val="clear" w:color="auto" w:fill="auto"/>
            <w:vAlign w:val="center"/>
          </w:tcPr>
          <w:p w14:paraId="68400091">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16798—2023</w:t>
            </w:r>
          </w:p>
        </w:tc>
      </w:tr>
      <w:tr w14:paraId="7877D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2CF1D775">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768F5245">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机械安全</w:t>
            </w:r>
          </w:p>
        </w:tc>
        <w:tc>
          <w:tcPr>
            <w:tcW w:w="1083" w:type="pct"/>
            <w:vAlign w:val="center"/>
          </w:tcPr>
          <w:p w14:paraId="3E281B0A">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16798—2023</w:t>
            </w:r>
          </w:p>
        </w:tc>
        <w:tc>
          <w:tcPr>
            <w:tcW w:w="1268" w:type="pct"/>
            <w:shd w:val="clear" w:color="auto" w:fill="auto"/>
            <w:vAlign w:val="center"/>
          </w:tcPr>
          <w:p w14:paraId="66EDD7C2">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16798—2023</w:t>
            </w:r>
          </w:p>
        </w:tc>
      </w:tr>
      <w:tr w14:paraId="2D646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48E367BD">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4F1F89B4">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电气安全</w:t>
            </w:r>
          </w:p>
        </w:tc>
        <w:tc>
          <w:tcPr>
            <w:tcW w:w="1083" w:type="pct"/>
            <w:vAlign w:val="center"/>
          </w:tcPr>
          <w:p w14:paraId="23888725">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16798—2023</w:t>
            </w:r>
          </w:p>
        </w:tc>
        <w:tc>
          <w:tcPr>
            <w:tcW w:w="1268" w:type="pct"/>
            <w:shd w:val="clear" w:color="auto" w:fill="auto"/>
            <w:vAlign w:val="center"/>
          </w:tcPr>
          <w:p w14:paraId="26BB3DA5">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16798—2023</w:t>
            </w:r>
          </w:p>
        </w:tc>
      </w:tr>
      <w:tr w14:paraId="69524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43D30A7F">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628A0C93">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可洗净性</w:t>
            </w:r>
          </w:p>
        </w:tc>
        <w:tc>
          <w:tcPr>
            <w:tcW w:w="1083" w:type="pct"/>
            <w:vAlign w:val="center"/>
          </w:tcPr>
          <w:p w14:paraId="3342EEC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16798—2023</w:t>
            </w:r>
          </w:p>
        </w:tc>
        <w:tc>
          <w:tcPr>
            <w:tcW w:w="1268" w:type="pct"/>
            <w:shd w:val="clear" w:color="auto" w:fill="auto"/>
            <w:vAlign w:val="center"/>
          </w:tcPr>
          <w:p w14:paraId="5FB0875C">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16798—2023</w:t>
            </w:r>
          </w:p>
        </w:tc>
      </w:tr>
      <w:tr w14:paraId="5633A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3EA72DB3">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7756B383">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在线清洗和在线消毒</w:t>
            </w:r>
          </w:p>
        </w:tc>
        <w:tc>
          <w:tcPr>
            <w:tcW w:w="1083" w:type="pct"/>
            <w:vAlign w:val="center"/>
          </w:tcPr>
          <w:p w14:paraId="089EFC2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16798—2023</w:t>
            </w:r>
          </w:p>
        </w:tc>
        <w:tc>
          <w:tcPr>
            <w:tcW w:w="1268" w:type="pct"/>
            <w:shd w:val="clear" w:color="auto" w:fill="auto"/>
            <w:vAlign w:val="center"/>
          </w:tcPr>
          <w:p w14:paraId="2FF092D1">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16798—2023</w:t>
            </w:r>
          </w:p>
        </w:tc>
      </w:tr>
      <w:tr w14:paraId="5DCA2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3D2E6642">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47E57211">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产品接触和非接触表面</w:t>
            </w:r>
          </w:p>
        </w:tc>
        <w:tc>
          <w:tcPr>
            <w:tcW w:w="1083" w:type="pct"/>
            <w:vAlign w:val="center"/>
          </w:tcPr>
          <w:p w14:paraId="7F37BED1">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16798—2023</w:t>
            </w:r>
          </w:p>
        </w:tc>
        <w:tc>
          <w:tcPr>
            <w:tcW w:w="1268" w:type="pct"/>
            <w:shd w:val="clear" w:color="auto" w:fill="auto"/>
            <w:vAlign w:val="center"/>
          </w:tcPr>
          <w:p w14:paraId="3A6DC638">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16798—2023</w:t>
            </w:r>
          </w:p>
        </w:tc>
      </w:tr>
      <w:tr w14:paraId="6E6A0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33733997">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193B24D6">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可拆卸性</w:t>
            </w:r>
          </w:p>
        </w:tc>
        <w:tc>
          <w:tcPr>
            <w:tcW w:w="1083" w:type="pct"/>
            <w:vAlign w:val="center"/>
          </w:tcPr>
          <w:p w14:paraId="53A76CA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16798—2023</w:t>
            </w:r>
          </w:p>
        </w:tc>
        <w:tc>
          <w:tcPr>
            <w:tcW w:w="1268" w:type="pct"/>
            <w:shd w:val="clear" w:color="auto" w:fill="auto"/>
            <w:vAlign w:val="center"/>
          </w:tcPr>
          <w:p w14:paraId="6F61D064">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16798—2023</w:t>
            </w:r>
          </w:p>
        </w:tc>
      </w:tr>
      <w:tr w14:paraId="6C027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7589CFD1">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3334C48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可检查性</w:t>
            </w:r>
          </w:p>
        </w:tc>
        <w:tc>
          <w:tcPr>
            <w:tcW w:w="1083" w:type="pct"/>
            <w:vAlign w:val="center"/>
          </w:tcPr>
          <w:p w14:paraId="0F40F785">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16798—2023</w:t>
            </w:r>
          </w:p>
        </w:tc>
        <w:tc>
          <w:tcPr>
            <w:tcW w:w="1268" w:type="pct"/>
            <w:shd w:val="clear" w:color="auto" w:fill="auto"/>
            <w:vAlign w:val="center"/>
          </w:tcPr>
          <w:p w14:paraId="302978E2">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16798—2023</w:t>
            </w:r>
          </w:p>
        </w:tc>
      </w:tr>
      <w:tr w14:paraId="6CC9A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trPr>
        <w:tc>
          <w:tcPr>
            <w:tcW w:w="5000" w:type="pct"/>
            <w:gridSpan w:val="4"/>
          </w:tcPr>
          <w:p w14:paraId="523AD6B4">
            <w:pPr>
              <w:tabs>
                <w:tab w:val="left" w:pos="312"/>
              </w:tabs>
              <w:adjustRightInd w:val="0"/>
              <w:snapToGrid w:val="0"/>
              <w:rPr>
                <w:rFonts w:hint="default" w:ascii="Times New Roman" w:hAnsi="Times New Roman" w:cs="Times New Roman"/>
                <w:color w:val="000000" w:themeColor="text1"/>
                <w:kern w:val="0"/>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注：</w:t>
            </w:r>
          </w:p>
          <w:p w14:paraId="26E79BEB">
            <w:pPr>
              <w:tabs>
                <w:tab w:val="left" w:pos="312"/>
              </w:tabs>
              <w:adjustRightInd w:val="0"/>
              <w:snapToGrid w:val="0"/>
              <w:rPr>
                <w:rFonts w:hint="default" w:ascii="Times New Roman" w:hAnsi="Times New Roman" w:cs="Times New Roman"/>
                <w:color w:val="000000" w:themeColor="text1"/>
                <w:kern w:val="0"/>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1.本表的第1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1</w:t>
            </w:r>
            <w:r>
              <w:rPr>
                <w:rFonts w:hint="eastAsia" w:ascii="Times New Roman" w:hAnsi="Times New Roman" w:cs="Times New Roman"/>
                <w:color w:val="000000" w:themeColor="text1"/>
                <w:highlight w:val="none"/>
                <w:lang w:val="en-US" w:eastAsia="zh-CN"/>
                <w14:textFill>
                  <w14:solidFill>
                    <w14:schemeClr w14:val="tx1"/>
                  </w14:solidFill>
                </w14:textFill>
              </w:rPr>
              <w:t>4</w:t>
            </w:r>
            <w:r>
              <w:rPr>
                <w:rFonts w:hint="default" w:ascii="Times New Roman" w:hAnsi="Times New Roman" w:cs="Times New Roman"/>
                <w:color w:val="000000" w:themeColor="text1"/>
                <w:highlight w:val="none"/>
                <w14:textFill>
                  <w14:solidFill>
                    <w14:schemeClr w14:val="tx1"/>
                  </w14:solidFill>
                </w14:textFill>
              </w:rPr>
              <w:t>项适用于金属材质；</w:t>
            </w:r>
          </w:p>
          <w:p w14:paraId="7BC4B889">
            <w:pPr>
              <w:tabs>
                <w:tab w:val="left" w:pos="312"/>
              </w:tabs>
              <w:adjustRightInd w:val="0"/>
              <w:snapToGrid w:val="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2.本表的第1</w:t>
            </w:r>
            <w:r>
              <w:rPr>
                <w:rFonts w:hint="eastAsia" w:ascii="Times New Roman" w:hAnsi="Times New Roman" w:cs="Times New Roman"/>
                <w:color w:val="000000" w:themeColor="text1"/>
                <w:highlight w:val="none"/>
                <w:lang w:val="en-US" w:eastAsia="zh-CN"/>
                <w14:textFill>
                  <w14:solidFill>
                    <w14:schemeClr w14:val="tx1"/>
                  </w14:solidFill>
                </w14:textFill>
              </w:rPr>
              <w:t>5</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w:t>
            </w:r>
            <w:r>
              <w:rPr>
                <w:rFonts w:hint="eastAsia" w:ascii="Times New Roman" w:hAnsi="Times New Roman" w:cs="Times New Roman"/>
                <w:color w:val="000000" w:themeColor="text1"/>
                <w:highlight w:val="none"/>
                <w:lang w:val="en-US" w:eastAsia="zh-CN"/>
                <w14:textFill>
                  <w14:solidFill>
                    <w14:schemeClr w14:val="tx1"/>
                  </w14:solidFill>
                </w14:textFill>
              </w:rPr>
              <w:t>9</w:t>
            </w:r>
            <w:r>
              <w:rPr>
                <w:rFonts w:hint="default" w:ascii="Times New Roman" w:hAnsi="Times New Roman" w:cs="Times New Roman"/>
                <w:color w:val="000000" w:themeColor="text1"/>
                <w:highlight w:val="none"/>
                <w14:textFill>
                  <w14:solidFill>
                    <w14:schemeClr w14:val="tx1"/>
                  </w14:solidFill>
                </w14:textFill>
              </w:rPr>
              <w:t>项适用于塑料材质；</w:t>
            </w:r>
          </w:p>
          <w:p w14:paraId="1D738CBD">
            <w:pPr>
              <w:tabs>
                <w:tab w:val="left" w:pos="312"/>
              </w:tabs>
              <w:adjustRightInd w:val="0"/>
              <w:snapToGrid w:val="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3.本表的第</w:t>
            </w:r>
            <w:r>
              <w:rPr>
                <w:rFonts w:hint="eastAsia" w:ascii="Times New Roman" w:hAnsi="Times New Roman" w:cs="Times New Roman"/>
                <w:color w:val="000000" w:themeColor="text1"/>
                <w:highlight w:val="none"/>
                <w:lang w:val="en-US" w:eastAsia="zh-CN"/>
                <w14:textFill>
                  <w14:solidFill>
                    <w14:schemeClr w14:val="tx1"/>
                  </w14:solidFill>
                </w14:textFill>
              </w:rPr>
              <w:t>30</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3</w:t>
            </w:r>
            <w:r>
              <w:rPr>
                <w:rFonts w:hint="eastAsia" w:ascii="Times New Roman" w:hAnsi="Times New Roman" w:cs="Times New Roman"/>
                <w:color w:val="000000" w:themeColor="text1"/>
                <w:highlight w:val="none"/>
                <w:lang w:val="en-US" w:eastAsia="zh-CN"/>
                <w14:textFill>
                  <w14:solidFill>
                    <w14:schemeClr w14:val="tx1"/>
                  </w14:solidFill>
                </w14:textFill>
              </w:rPr>
              <w:t>4</w:t>
            </w:r>
            <w:r>
              <w:rPr>
                <w:rFonts w:hint="default" w:ascii="Times New Roman" w:hAnsi="Times New Roman" w:cs="Times New Roman"/>
                <w:color w:val="000000" w:themeColor="text1"/>
                <w:highlight w:val="none"/>
                <w14:textFill>
                  <w14:solidFill>
                    <w14:schemeClr w14:val="tx1"/>
                  </w14:solidFill>
                </w14:textFill>
              </w:rPr>
              <w:t>项适用于橡胶材质；</w:t>
            </w:r>
          </w:p>
          <w:p w14:paraId="7B1DB038">
            <w:pPr>
              <w:tabs>
                <w:tab w:val="left" w:pos="312"/>
              </w:tabs>
              <w:adjustRightInd w:val="0"/>
              <w:snapToGrid w:val="0"/>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4.</w:t>
            </w:r>
            <w:r>
              <w:rPr>
                <w:rFonts w:hint="default" w:ascii="Times New Roman" w:hAnsi="Times New Roman" w:cs="Times New Roman"/>
                <w:color w:val="000000" w:themeColor="text1"/>
                <w:highlight w:val="none"/>
                <w14:textFill>
                  <w14:solidFill>
                    <w14:schemeClr w14:val="tx1"/>
                  </w14:solidFill>
                </w14:textFill>
              </w:rPr>
              <w:t>本表的第</w:t>
            </w:r>
            <w:r>
              <w:rPr>
                <w:rFonts w:hint="default" w:ascii="Times New Roman" w:hAnsi="Times New Roman" w:cs="Times New Roman"/>
                <w:color w:val="000000" w:themeColor="text1"/>
                <w:highlight w:val="none"/>
                <w:lang w:val="en-US" w:eastAsia="zh-CN"/>
                <w14:textFill>
                  <w14:solidFill>
                    <w14:schemeClr w14:val="tx1"/>
                  </w14:solidFill>
                </w14:textFill>
              </w:rPr>
              <w:t>3</w:t>
            </w:r>
            <w:r>
              <w:rPr>
                <w:rFonts w:hint="eastAsia" w:ascii="Times New Roman" w:hAnsi="Times New Roman" w:cs="Times New Roman"/>
                <w:color w:val="000000" w:themeColor="text1"/>
                <w:highlight w:val="none"/>
                <w:lang w:val="en-US" w:eastAsia="zh-CN"/>
                <w14:textFill>
                  <w14:solidFill>
                    <w14:schemeClr w14:val="tx1"/>
                  </w14:solidFill>
                </w14:textFill>
              </w:rPr>
              <w:t>5</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lang w:val="en-US" w:eastAsia="zh-CN"/>
                <w14:textFill>
                  <w14:solidFill>
                    <w14:schemeClr w14:val="tx1"/>
                  </w14:solidFill>
                </w14:textFill>
              </w:rPr>
              <w:t>3</w:t>
            </w:r>
            <w:r>
              <w:rPr>
                <w:rFonts w:hint="eastAsia" w:ascii="Times New Roman" w:hAnsi="Times New Roman" w:cs="Times New Roman"/>
                <w:color w:val="000000" w:themeColor="text1"/>
                <w:highlight w:val="none"/>
                <w:lang w:val="en-US" w:eastAsia="zh-CN"/>
                <w14:textFill>
                  <w14:solidFill>
                    <w14:schemeClr w14:val="tx1"/>
                  </w14:solidFill>
                </w14:textFill>
              </w:rPr>
              <w:t>8</w:t>
            </w:r>
            <w:r>
              <w:rPr>
                <w:rFonts w:hint="default" w:ascii="Times New Roman" w:hAnsi="Times New Roman" w:cs="Times New Roman"/>
                <w:color w:val="000000" w:themeColor="text1"/>
                <w:highlight w:val="none"/>
                <w14:textFill>
                  <w14:solidFill>
                    <w14:schemeClr w14:val="tx1"/>
                  </w14:solidFill>
                </w14:textFill>
              </w:rPr>
              <w:t>项适用于</w:t>
            </w:r>
            <w:r>
              <w:rPr>
                <w:rFonts w:hint="default" w:ascii="Times New Roman" w:hAnsi="Times New Roman" w:cs="Times New Roman"/>
                <w:color w:val="000000" w:themeColor="text1"/>
                <w:highlight w:val="none"/>
                <w:lang w:val="en-US" w:eastAsia="zh-CN"/>
                <w14:textFill>
                  <w14:solidFill>
                    <w14:schemeClr w14:val="tx1"/>
                  </w14:solidFill>
                </w14:textFill>
              </w:rPr>
              <w:t>硅橡胶材质；</w:t>
            </w:r>
          </w:p>
          <w:p w14:paraId="4960433A">
            <w:pPr>
              <w:tabs>
                <w:tab w:val="left" w:pos="312"/>
              </w:tabs>
              <w:adjustRightInd w:val="0"/>
              <w:snapToGrid w:val="0"/>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5.本表的第1</w:t>
            </w:r>
            <w:r>
              <w:rPr>
                <w:rFonts w:hint="eastAsia" w:ascii="Times New Roman" w:hAnsi="Times New Roman" w:cs="Times New Roman"/>
                <w:color w:val="000000" w:themeColor="text1"/>
                <w:highlight w:val="none"/>
                <w:lang w:val="en-US" w:eastAsia="zh-CN"/>
                <w14:textFill>
                  <w14:solidFill>
                    <w14:schemeClr w14:val="tx1"/>
                  </w14:solidFill>
                </w14:textFill>
              </w:rPr>
              <w:t>9</w:t>
            </w:r>
            <w:r>
              <w:rPr>
                <w:rFonts w:hint="default" w:ascii="Times New Roman" w:hAnsi="Times New Roman" w:cs="Times New Roman"/>
                <w:color w:val="000000" w:themeColor="text1"/>
                <w:highlight w:val="none"/>
                <w:lang w:val="en-US" w:eastAsia="zh-CN"/>
                <w14:textFill>
                  <w14:solidFill>
                    <w14:schemeClr w14:val="tx1"/>
                  </w14:solidFill>
                </w14:textFill>
              </w:rPr>
              <w:t>项仅适用于含有芳香族异氰酸酯和偶氮类着色剂等可能产生芳香族伯胺类物质的塑料材质；</w:t>
            </w:r>
          </w:p>
          <w:p w14:paraId="62D31246">
            <w:pPr>
              <w:shd w:val="clear" w:color="auto" w:fill="FFFFFF"/>
              <w:adjustRightInd w:val="0"/>
              <w:snapToGrid w:val="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6</w:t>
            </w:r>
            <w:r>
              <w:rPr>
                <w:rFonts w:hint="default" w:ascii="Times New Roman" w:hAnsi="Times New Roman" w:cs="Times New Roman"/>
                <w:color w:val="000000" w:themeColor="text1"/>
                <w:highlight w:val="none"/>
                <w14:textFill>
                  <w14:solidFill>
                    <w14:schemeClr w14:val="tx1"/>
                  </w14:solidFill>
                </w14:textFill>
              </w:rPr>
              <w:t>.本表的第</w:t>
            </w:r>
            <w:r>
              <w:rPr>
                <w:rFonts w:hint="default" w:ascii="Times New Roman" w:hAnsi="Times New Roman" w:cs="Times New Roman"/>
                <w:color w:val="000000" w:themeColor="text1"/>
                <w:highlight w:val="none"/>
                <w:lang w:eastAsia="zh-CN"/>
                <w14:textFill>
                  <w14:solidFill>
                    <w14:schemeClr w14:val="tx1"/>
                  </w14:solidFill>
                </w14:textFill>
              </w:rPr>
              <w:t>3</w:t>
            </w:r>
            <w:r>
              <w:rPr>
                <w:rFonts w:hint="eastAsia" w:ascii="Times New Roman" w:hAnsi="Times New Roman" w:cs="Times New Roman"/>
                <w:color w:val="000000" w:themeColor="text1"/>
                <w:highlight w:val="none"/>
                <w:lang w:val="en-US" w:eastAsia="zh-CN"/>
                <w14:textFill>
                  <w14:solidFill>
                    <w14:schemeClr w14:val="tx1"/>
                  </w14:solidFill>
                </w14:textFill>
              </w:rPr>
              <w:t>3</w:t>
            </w:r>
            <w:r>
              <w:rPr>
                <w:rFonts w:hint="default" w:ascii="Times New Roman" w:hAnsi="Times New Roman" w:cs="Times New Roman"/>
                <w:color w:val="000000" w:themeColor="text1"/>
                <w:highlight w:val="none"/>
                <w14:textFill>
                  <w14:solidFill>
                    <w14:schemeClr w14:val="tx1"/>
                  </w14:solidFill>
                </w14:textFill>
              </w:rPr>
              <w:t>项仅适用于含有胺类防老剂、次磺酰胺类硫化促进剂、偶氮类着色剂等可能产生芳香族伯胺的橡胶</w:t>
            </w:r>
            <w:r>
              <w:rPr>
                <w:rFonts w:hint="default" w:ascii="Times New Roman" w:hAnsi="Times New Roman" w:cs="Times New Roman"/>
                <w:color w:val="000000" w:themeColor="text1"/>
                <w:highlight w:val="none"/>
                <w:lang w:val="en-US" w:eastAsia="zh-CN"/>
                <w14:textFill>
                  <w14:solidFill>
                    <w14:schemeClr w14:val="tx1"/>
                  </w14:solidFill>
                </w14:textFill>
              </w:rPr>
              <w:t>材质</w:t>
            </w:r>
            <w:r>
              <w:rPr>
                <w:rFonts w:hint="default" w:ascii="Times New Roman" w:hAnsi="Times New Roman" w:cs="Times New Roman"/>
                <w:color w:val="000000" w:themeColor="text1"/>
                <w:highlight w:val="none"/>
                <w14:textFill>
                  <w14:solidFill>
                    <w14:schemeClr w14:val="tx1"/>
                  </w14:solidFill>
                </w14:textFill>
              </w:rPr>
              <w:t>；</w:t>
            </w:r>
          </w:p>
          <w:p w14:paraId="0156EE1A">
            <w:pPr>
              <w:tabs>
                <w:tab w:val="left" w:pos="312"/>
              </w:tabs>
              <w:adjustRightInd w:val="0"/>
              <w:snapToGrid w:val="0"/>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7</w:t>
            </w:r>
            <w:r>
              <w:rPr>
                <w:rFonts w:hint="default" w:ascii="Times New Roman" w:hAnsi="Times New Roman" w:cs="Times New Roman"/>
                <w:color w:val="000000" w:themeColor="text1"/>
                <w:highlight w:val="none"/>
                <w14:textFill>
                  <w14:solidFill>
                    <w14:schemeClr w14:val="tx1"/>
                  </w14:solidFill>
                </w14:textFill>
              </w:rPr>
              <w:t>.本表的第</w:t>
            </w:r>
            <w:r>
              <w:rPr>
                <w:rFonts w:hint="default" w:ascii="Times New Roman" w:hAnsi="Times New Roman" w:cs="Times New Roman"/>
                <w:color w:val="000000" w:themeColor="text1"/>
                <w:highlight w:val="none"/>
                <w:lang w:eastAsia="zh-CN"/>
                <w14:textFill>
                  <w14:solidFill>
                    <w14:schemeClr w14:val="tx1"/>
                  </w14:solidFill>
                </w14:textFill>
              </w:rPr>
              <w:t>3</w:t>
            </w:r>
            <w:r>
              <w:rPr>
                <w:rFonts w:hint="eastAsia" w:ascii="Times New Roman" w:hAnsi="Times New Roman" w:cs="Times New Roman"/>
                <w:color w:val="000000" w:themeColor="text1"/>
                <w:highlight w:val="none"/>
                <w:lang w:val="en-US" w:eastAsia="zh-CN"/>
                <w14:textFill>
                  <w14:solidFill>
                    <w14:schemeClr w14:val="tx1"/>
                  </w14:solidFill>
                </w14:textFill>
              </w:rPr>
              <w:t>4</w:t>
            </w:r>
            <w:r>
              <w:rPr>
                <w:rFonts w:hint="default" w:ascii="Times New Roman" w:hAnsi="Times New Roman" w:cs="Times New Roman"/>
                <w:color w:val="000000" w:themeColor="text1"/>
                <w:highlight w:val="none"/>
                <w14:textFill>
                  <w14:solidFill>
                    <w14:schemeClr w14:val="tx1"/>
                  </w14:solidFill>
                </w14:textFill>
              </w:rPr>
              <w:t>项仅适用于含有硫化促进剂等可能产生N</w:t>
            </w:r>
            <w:r>
              <w:rPr>
                <w:rFonts w:hint="default" w:ascii="Times New Roman" w:hAnsi="Times New Roman" w:cs="Times New Roman"/>
                <w:color w:val="000000" w:themeColor="text1"/>
                <w:highlight w:val="none"/>
                <w:lang w:val="en-US"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亚硝胺和N</w:t>
            </w:r>
            <w:r>
              <w:rPr>
                <w:rFonts w:hint="default" w:ascii="Times New Roman" w:hAnsi="Times New Roman" w:cs="Times New Roman"/>
                <w:color w:val="000000" w:themeColor="text1"/>
                <w:highlight w:val="none"/>
                <w:lang w:val="en-US"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亚硝胺可生成物的橡胶</w:t>
            </w:r>
            <w:r>
              <w:rPr>
                <w:rFonts w:hint="default" w:ascii="Times New Roman" w:hAnsi="Times New Roman" w:cs="Times New Roman"/>
                <w:color w:val="000000" w:themeColor="text1"/>
                <w:highlight w:val="none"/>
                <w:lang w:val="en-US" w:eastAsia="zh-CN"/>
                <w14:textFill>
                  <w14:solidFill>
                    <w14:schemeClr w14:val="tx1"/>
                  </w14:solidFill>
                </w14:textFill>
              </w:rPr>
              <w:t>材质</w:t>
            </w:r>
            <w:r>
              <w:rPr>
                <w:rFonts w:hint="default" w:ascii="Times New Roman" w:hAnsi="Times New Roman" w:cs="Times New Roman"/>
                <w:color w:val="000000" w:themeColor="text1"/>
                <w:highlight w:val="none"/>
                <w14:textFill>
                  <w14:solidFill>
                    <w14:schemeClr w14:val="tx1"/>
                  </w14:solidFill>
                </w14:textFill>
              </w:rPr>
              <w:t>。</w:t>
            </w:r>
          </w:p>
        </w:tc>
      </w:tr>
    </w:tbl>
    <w:p w14:paraId="34205F1B">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eastAsia="黑体"/>
          <w:szCs w:val="21"/>
        </w:rPr>
      </w:pPr>
    </w:p>
    <w:p w14:paraId="699218EC">
      <w:pPr>
        <w:adjustRightInd w:val="0"/>
        <w:snapToGrid w:val="0"/>
        <w:spacing w:before="156" w:beforeLines="50" w:line="360" w:lineRule="auto"/>
        <w:rPr>
          <w:rFonts w:hint="default" w:ascii="Times New Roman" w:hAnsi="Times New Roman" w:cs="Times New Roman"/>
        </w:rPr>
      </w:pPr>
      <w:r>
        <w:rPr>
          <w:rFonts w:hint="default" w:ascii="Times New Roman" w:hAnsi="Times New Roman" w:eastAsia="黑体" w:cs="Times New Roman"/>
          <w:szCs w:val="21"/>
        </w:rPr>
        <w:t>2.2</w:t>
      </w:r>
      <w:r>
        <w:rPr>
          <w:rFonts w:hint="default" w:ascii="Times New Roman" w:hAnsi="Times New Roman" w:cs="Times New Roman"/>
        </w:rPr>
        <w:t>商用电动食品加工设备</w:t>
      </w:r>
    </w:p>
    <w:tbl>
      <w:tblPr>
        <w:tblStyle w:val="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2"/>
        <w:gridCol w:w="3852"/>
        <w:gridCol w:w="2199"/>
        <w:gridCol w:w="2483"/>
      </w:tblGrid>
      <w:tr w14:paraId="34B27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blHeader/>
        </w:trPr>
        <w:tc>
          <w:tcPr>
            <w:tcW w:w="288" w:type="pct"/>
            <w:vAlign w:val="center"/>
          </w:tcPr>
          <w:p w14:paraId="7522FDBE">
            <w:pPr>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序号</w:t>
            </w:r>
          </w:p>
        </w:tc>
        <w:tc>
          <w:tcPr>
            <w:tcW w:w="2127" w:type="pct"/>
            <w:vAlign w:val="center"/>
          </w:tcPr>
          <w:p w14:paraId="05778B4A">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检验项目</w:t>
            </w:r>
          </w:p>
        </w:tc>
        <w:tc>
          <w:tcPr>
            <w:tcW w:w="1214" w:type="pct"/>
            <w:shd w:val="clear" w:color="auto" w:fill="FFFFFF"/>
            <w:vAlign w:val="center"/>
          </w:tcPr>
          <w:p w14:paraId="364DE74C">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检验依据</w:t>
            </w:r>
          </w:p>
        </w:tc>
        <w:tc>
          <w:tcPr>
            <w:tcW w:w="1368" w:type="pct"/>
            <w:shd w:val="clear" w:color="auto" w:fill="FFFFFF"/>
            <w:vAlign w:val="center"/>
          </w:tcPr>
          <w:p w14:paraId="31DB3471">
            <w:pPr>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检验方法</w:t>
            </w:r>
          </w:p>
        </w:tc>
      </w:tr>
      <w:tr w14:paraId="4C351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77F3E56B">
            <w:pPr>
              <w:keepNext w:val="0"/>
              <w:keepLines w:val="0"/>
              <w:pageBreakBefore w:val="0"/>
              <w:widowControl w:val="0"/>
              <w:numPr>
                <w:ilvl w:val="0"/>
                <w:numId w:val="2"/>
              </w:numPr>
              <w:kinsoku/>
              <w:wordWrap/>
              <w:overflowPunct/>
              <w:topLinePunct w:val="0"/>
              <w:autoSpaceDE/>
              <w:autoSpaceDN/>
              <w:bidi w:val="0"/>
              <w:adjustRightInd w:val="0"/>
              <w:snapToGrid w:val="0"/>
              <w:ind w:left="0" w:leftChars="0" w:firstLine="144" w:firstLineChars="69"/>
              <w:jc w:val="center"/>
              <w:textAlignment w:val="auto"/>
              <w:rPr>
                <w:rFonts w:hint="default" w:ascii="Times New Roman" w:hAnsi="Times New Roman" w:cs="Times New Roman"/>
                <w:color w:val="000000" w:themeColor="text1"/>
                <w:highlight w:val="none"/>
                <w14:textFill>
                  <w14:solidFill>
                    <w14:schemeClr w14:val="tx1"/>
                  </w14:solidFill>
                </w14:textFill>
              </w:rPr>
            </w:pPr>
          </w:p>
        </w:tc>
        <w:tc>
          <w:tcPr>
            <w:tcW w:w="2127" w:type="pct"/>
            <w:vAlign w:val="center"/>
          </w:tcPr>
          <w:p w14:paraId="10DF1A18">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砷</w:t>
            </w:r>
          </w:p>
        </w:tc>
        <w:tc>
          <w:tcPr>
            <w:tcW w:w="1214" w:type="pct"/>
            <w:vAlign w:val="center"/>
          </w:tcPr>
          <w:p w14:paraId="36E3C5C2">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368" w:type="pct"/>
            <w:shd w:val="clear" w:color="auto" w:fill="auto"/>
            <w:vAlign w:val="center"/>
          </w:tcPr>
          <w:p w14:paraId="6805A7F6">
            <w:pPr>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27A61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145D82AB">
            <w:pPr>
              <w:keepNext w:val="0"/>
              <w:keepLines w:val="0"/>
              <w:pageBreakBefore w:val="0"/>
              <w:widowControl w:val="0"/>
              <w:numPr>
                <w:ilvl w:val="0"/>
                <w:numId w:val="2"/>
              </w:numPr>
              <w:kinsoku/>
              <w:wordWrap/>
              <w:overflowPunct/>
              <w:topLinePunct w:val="0"/>
              <w:autoSpaceDE/>
              <w:autoSpaceDN/>
              <w:bidi w:val="0"/>
              <w:adjustRightInd w:val="0"/>
              <w:snapToGrid w:val="0"/>
              <w:ind w:left="0" w:leftChars="0" w:firstLine="144" w:firstLineChars="69"/>
              <w:jc w:val="center"/>
              <w:textAlignment w:val="auto"/>
              <w:rPr>
                <w:rFonts w:hint="default" w:ascii="Times New Roman" w:hAnsi="Times New Roman" w:cs="Times New Roman"/>
                <w:color w:val="000000" w:themeColor="text1"/>
                <w:highlight w:val="none"/>
                <w14:textFill>
                  <w14:solidFill>
                    <w14:schemeClr w14:val="tx1"/>
                  </w14:solidFill>
                </w14:textFill>
              </w:rPr>
            </w:pPr>
          </w:p>
        </w:tc>
        <w:tc>
          <w:tcPr>
            <w:tcW w:w="2127" w:type="pct"/>
            <w:vAlign w:val="center"/>
          </w:tcPr>
          <w:p w14:paraId="7018C2CB">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镉</w:t>
            </w:r>
          </w:p>
        </w:tc>
        <w:tc>
          <w:tcPr>
            <w:tcW w:w="1214" w:type="pct"/>
            <w:vAlign w:val="center"/>
          </w:tcPr>
          <w:p w14:paraId="09799D9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368" w:type="pct"/>
            <w:shd w:val="clear" w:color="auto" w:fill="auto"/>
            <w:vAlign w:val="center"/>
          </w:tcPr>
          <w:p w14:paraId="4356FD9A">
            <w:pPr>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2D446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12C2FC97">
            <w:pPr>
              <w:keepNext w:val="0"/>
              <w:keepLines w:val="0"/>
              <w:pageBreakBefore w:val="0"/>
              <w:widowControl w:val="0"/>
              <w:numPr>
                <w:ilvl w:val="0"/>
                <w:numId w:val="2"/>
              </w:numPr>
              <w:kinsoku/>
              <w:wordWrap/>
              <w:overflowPunct/>
              <w:topLinePunct w:val="0"/>
              <w:autoSpaceDE/>
              <w:autoSpaceDN/>
              <w:bidi w:val="0"/>
              <w:adjustRightInd w:val="0"/>
              <w:snapToGrid w:val="0"/>
              <w:ind w:left="0" w:leftChars="0" w:firstLine="144" w:firstLineChars="69"/>
              <w:jc w:val="center"/>
              <w:textAlignment w:val="auto"/>
              <w:rPr>
                <w:rFonts w:hint="default" w:ascii="Times New Roman" w:hAnsi="Times New Roman" w:cs="Times New Roman"/>
                <w:color w:val="000000" w:themeColor="text1"/>
                <w:highlight w:val="none"/>
                <w14:textFill>
                  <w14:solidFill>
                    <w14:schemeClr w14:val="tx1"/>
                  </w14:solidFill>
                </w14:textFill>
              </w:rPr>
            </w:pPr>
          </w:p>
        </w:tc>
        <w:tc>
          <w:tcPr>
            <w:tcW w:w="2127" w:type="pct"/>
            <w:vAlign w:val="center"/>
          </w:tcPr>
          <w:p w14:paraId="607E2635">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铅</w:t>
            </w:r>
          </w:p>
        </w:tc>
        <w:tc>
          <w:tcPr>
            <w:tcW w:w="1214" w:type="pct"/>
            <w:vAlign w:val="center"/>
          </w:tcPr>
          <w:p w14:paraId="36A006E8">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368" w:type="pct"/>
            <w:shd w:val="clear" w:color="auto" w:fill="auto"/>
            <w:vAlign w:val="center"/>
          </w:tcPr>
          <w:p w14:paraId="2DD38493">
            <w:pPr>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4EA17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21450A6C">
            <w:pPr>
              <w:keepNext w:val="0"/>
              <w:keepLines w:val="0"/>
              <w:pageBreakBefore w:val="0"/>
              <w:widowControl w:val="0"/>
              <w:numPr>
                <w:ilvl w:val="0"/>
                <w:numId w:val="2"/>
              </w:numPr>
              <w:kinsoku/>
              <w:wordWrap/>
              <w:overflowPunct/>
              <w:topLinePunct w:val="0"/>
              <w:autoSpaceDE/>
              <w:autoSpaceDN/>
              <w:bidi w:val="0"/>
              <w:adjustRightInd w:val="0"/>
              <w:snapToGrid w:val="0"/>
              <w:ind w:left="0" w:leftChars="0" w:firstLine="144" w:firstLineChars="69"/>
              <w:jc w:val="center"/>
              <w:textAlignment w:val="auto"/>
              <w:rPr>
                <w:rFonts w:hint="default" w:ascii="Times New Roman" w:hAnsi="Times New Roman" w:cs="Times New Roman"/>
                <w:color w:val="000000" w:themeColor="text1"/>
                <w:highlight w:val="none"/>
                <w14:textFill>
                  <w14:solidFill>
                    <w14:schemeClr w14:val="tx1"/>
                  </w14:solidFill>
                </w14:textFill>
              </w:rPr>
            </w:pPr>
          </w:p>
        </w:tc>
        <w:tc>
          <w:tcPr>
            <w:tcW w:w="2127" w:type="pct"/>
            <w:vAlign w:val="center"/>
          </w:tcPr>
          <w:p w14:paraId="238F713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镍</w:t>
            </w:r>
          </w:p>
        </w:tc>
        <w:tc>
          <w:tcPr>
            <w:tcW w:w="1214" w:type="pct"/>
            <w:vAlign w:val="center"/>
          </w:tcPr>
          <w:p w14:paraId="04716A30">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368" w:type="pct"/>
            <w:shd w:val="clear" w:color="auto" w:fill="auto"/>
            <w:vAlign w:val="center"/>
          </w:tcPr>
          <w:p w14:paraId="0058B1FF">
            <w:pPr>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17AF5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7AF7CEEB">
            <w:pPr>
              <w:keepNext w:val="0"/>
              <w:keepLines w:val="0"/>
              <w:pageBreakBefore w:val="0"/>
              <w:widowControl w:val="0"/>
              <w:numPr>
                <w:ilvl w:val="0"/>
                <w:numId w:val="2"/>
              </w:numPr>
              <w:kinsoku/>
              <w:wordWrap/>
              <w:overflowPunct/>
              <w:topLinePunct w:val="0"/>
              <w:autoSpaceDE/>
              <w:autoSpaceDN/>
              <w:bidi w:val="0"/>
              <w:adjustRightInd w:val="0"/>
              <w:snapToGrid w:val="0"/>
              <w:ind w:left="0" w:leftChars="0" w:firstLine="144" w:firstLineChars="69"/>
              <w:jc w:val="center"/>
              <w:textAlignment w:val="auto"/>
              <w:rPr>
                <w:rFonts w:hint="default" w:ascii="Times New Roman" w:hAnsi="Times New Roman" w:cs="Times New Roman"/>
                <w:color w:val="000000" w:themeColor="text1"/>
                <w:highlight w:val="none"/>
                <w14:textFill>
                  <w14:solidFill>
                    <w14:schemeClr w14:val="tx1"/>
                  </w14:solidFill>
                </w14:textFill>
              </w:rPr>
            </w:pPr>
          </w:p>
        </w:tc>
        <w:tc>
          <w:tcPr>
            <w:tcW w:w="2127" w:type="pct"/>
            <w:vAlign w:val="center"/>
          </w:tcPr>
          <w:p w14:paraId="452A5CF6">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铬</w:t>
            </w:r>
          </w:p>
        </w:tc>
        <w:tc>
          <w:tcPr>
            <w:tcW w:w="1214" w:type="pct"/>
            <w:vAlign w:val="center"/>
          </w:tcPr>
          <w:p w14:paraId="598C67B1">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368" w:type="pct"/>
            <w:shd w:val="clear" w:color="auto" w:fill="auto"/>
            <w:vAlign w:val="center"/>
          </w:tcPr>
          <w:p w14:paraId="17D3A6D3">
            <w:pPr>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0D9F6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16CBCACE">
            <w:pPr>
              <w:keepNext w:val="0"/>
              <w:keepLines w:val="0"/>
              <w:pageBreakBefore w:val="0"/>
              <w:widowControl w:val="0"/>
              <w:numPr>
                <w:ilvl w:val="0"/>
                <w:numId w:val="2"/>
              </w:numPr>
              <w:kinsoku/>
              <w:wordWrap/>
              <w:overflowPunct/>
              <w:topLinePunct w:val="0"/>
              <w:autoSpaceDE/>
              <w:autoSpaceDN/>
              <w:bidi w:val="0"/>
              <w:adjustRightInd w:val="0"/>
              <w:snapToGrid w:val="0"/>
              <w:ind w:left="0" w:leftChars="0" w:firstLine="144" w:firstLineChars="69"/>
              <w:jc w:val="center"/>
              <w:textAlignment w:val="auto"/>
              <w:rPr>
                <w:rFonts w:hint="default" w:ascii="Times New Roman" w:hAnsi="Times New Roman" w:cs="Times New Roman"/>
                <w:color w:val="000000" w:themeColor="text1"/>
                <w:highlight w:val="none"/>
                <w14:textFill>
                  <w14:solidFill>
                    <w14:schemeClr w14:val="tx1"/>
                  </w14:solidFill>
                </w14:textFill>
              </w:rPr>
            </w:pPr>
          </w:p>
        </w:tc>
        <w:tc>
          <w:tcPr>
            <w:tcW w:w="2127" w:type="pct"/>
            <w:vAlign w:val="center"/>
          </w:tcPr>
          <w:p w14:paraId="622996A4">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锑</w:t>
            </w:r>
          </w:p>
        </w:tc>
        <w:tc>
          <w:tcPr>
            <w:tcW w:w="1214" w:type="pct"/>
            <w:vAlign w:val="center"/>
          </w:tcPr>
          <w:p w14:paraId="20DB07FE">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368" w:type="pct"/>
            <w:shd w:val="clear" w:color="auto" w:fill="auto"/>
            <w:vAlign w:val="center"/>
          </w:tcPr>
          <w:p w14:paraId="2B6588C5">
            <w:pPr>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50C99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39C698D4">
            <w:pPr>
              <w:keepNext w:val="0"/>
              <w:keepLines w:val="0"/>
              <w:pageBreakBefore w:val="0"/>
              <w:widowControl w:val="0"/>
              <w:numPr>
                <w:ilvl w:val="0"/>
                <w:numId w:val="2"/>
              </w:numPr>
              <w:kinsoku/>
              <w:wordWrap/>
              <w:overflowPunct/>
              <w:topLinePunct w:val="0"/>
              <w:autoSpaceDE/>
              <w:autoSpaceDN/>
              <w:bidi w:val="0"/>
              <w:adjustRightInd w:val="0"/>
              <w:snapToGrid w:val="0"/>
              <w:ind w:left="0" w:leftChars="0" w:firstLine="144" w:firstLineChars="69"/>
              <w:jc w:val="center"/>
              <w:textAlignment w:val="auto"/>
              <w:rPr>
                <w:rFonts w:hint="default" w:ascii="Times New Roman" w:hAnsi="Times New Roman" w:cs="Times New Roman"/>
                <w:color w:val="000000" w:themeColor="text1"/>
                <w:highlight w:val="none"/>
                <w14:textFill>
                  <w14:solidFill>
                    <w14:schemeClr w14:val="tx1"/>
                  </w14:solidFill>
                </w14:textFill>
              </w:rPr>
            </w:pPr>
          </w:p>
        </w:tc>
        <w:tc>
          <w:tcPr>
            <w:tcW w:w="2127" w:type="pct"/>
            <w:vAlign w:val="center"/>
          </w:tcPr>
          <w:p w14:paraId="1193E41B">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铝</w:t>
            </w:r>
          </w:p>
        </w:tc>
        <w:tc>
          <w:tcPr>
            <w:tcW w:w="1214" w:type="pct"/>
            <w:vAlign w:val="center"/>
          </w:tcPr>
          <w:p w14:paraId="71D9433A">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368" w:type="pct"/>
            <w:shd w:val="clear" w:color="auto" w:fill="auto"/>
            <w:vAlign w:val="center"/>
          </w:tcPr>
          <w:p w14:paraId="7B9C4F85">
            <w:pPr>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5E9DA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3498637F">
            <w:pPr>
              <w:keepNext w:val="0"/>
              <w:keepLines w:val="0"/>
              <w:pageBreakBefore w:val="0"/>
              <w:widowControl w:val="0"/>
              <w:numPr>
                <w:ilvl w:val="0"/>
                <w:numId w:val="2"/>
              </w:numPr>
              <w:kinsoku/>
              <w:wordWrap/>
              <w:overflowPunct/>
              <w:topLinePunct w:val="0"/>
              <w:autoSpaceDE/>
              <w:autoSpaceDN/>
              <w:bidi w:val="0"/>
              <w:adjustRightInd w:val="0"/>
              <w:snapToGrid w:val="0"/>
              <w:ind w:left="0" w:leftChars="0" w:firstLine="144" w:firstLineChars="69"/>
              <w:jc w:val="center"/>
              <w:textAlignment w:val="auto"/>
              <w:rPr>
                <w:rFonts w:hint="default" w:ascii="Times New Roman" w:hAnsi="Times New Roman" w:cs="Times New Roman"/>
                <w:color w:val="000000" w:themeColor="text1"/>
                <w:highlight w:val="none"/>
                <w14:textFill>
                  <w14:solidFill>
                    <w14:schemeClr w14:val="tx1"/>
                  </w14:solidFill>
                </w14:textFill>
              </w:rPr>
            </w:pPr>
          </w:p>
        </w:tc>
        <w:tc>
          <w:tcPr>
            <w:tcW w:w="2127" w:type="pct"/>
            <w:vAlign w:val="center"/>
          </w:tcPr>
          <w:p w14:paraId="00CDA75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钴</w:t>
            </w:r>
          </w:p>
        </w:tc>
        <w:tc>
          <w:tcPr>
            <w:tcW w:w="1214" w:type="pct"/>
            <w:vAlign w:val="center"/>
          </w:tcPr>
          <w:p w14:paraId="30DCC71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368" w:type="pct"/>
            <w:shd w:val="clear" w:color="auto" w:fill="auto"/>
            <w:vAlign w:val="center"/>
          </w:tcPr>
          <w:p w14:paraId="3364392A">
            <w:pPr>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141C1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6200CD7D">
            <w:pPr>
              <w:keepNext w:val="0"/>
              <w:keepLines w:val="0"/>
              <w:pageBreakBefore w:val="0"/>
              <w:widowControl w:val="0"/>
              <w:numPr>
                <w:ilvl w:val="0"/>
                <w:numId w:val="2"/>
              </w:numPr>
              <w:kinsoku/>
              <w:wordWrap/>
              <w:overflowPunct/>
              <w:topLinePunct w:val="0"/>
              <w:autoSpaceDE/>
              <w:autoSpaceDN/>
              <w:bidi w:val="0"/>
              <w:adjustRightInd w:val="0"/>
              <w:snapToGrid w:val="0"/>
              <w:ind w:left="0" w:leftChars="0" w:firstLine="144" w:firstLineChars="69"/>
              <w:jc w:val="center"/>
              <w:textAlignment w:val="auto"/>
              <w:rPr>
                <w:rFonts w:hint="default" w:ascii="Times New Roman" w:hAnsi="Times New Roman" w:cs="Times New Roman"/>
                <w:color w:val="000000" w:themeColor="text1"/>
                <w:highlight w:val="none"/>
                <w14:textFill>
                  <w14:solidFill>
                    <w14:schemeClr w14:val="tx1"/>
                  </w14:solidFill>
                </w14:textFill>
              </w:rPr>
            </w:pPr>
          </w:p>
        </w:tc>
        <w:tc>
          <w:tcPr>
            <w:tcW w:w="2127" w:type="pct"/>
            <w:vAlign w:val="center"/>
          </w:tcPr>
          <w:p w14:paraId="33C2D415">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铜</w:t>
            </w:r>
          </w:p>
        </w:tc>
        <w:tc>
          <w:tcPr>
            <w:tcW w:w="1214" w:type="pct"/>
            <w:vAlign w:val="center"/>
          </w:tcPr>
          <w:p w14:paraId="23F2AD1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368" w:type="pct"/>
            <w:shd w:val="clear" w:color="auto" w:fill="auto"/>
            <w:vAlign w:val="center"/>
          </w:tcPr>
          <w:p w14:paraId="48F1793A">
            <w:pPr>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4986D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11946F31">
            <w:pPr>
              <w:keepNext w:val="0"/>
              <w:keepLines w:val="0"/>
              <w:pageBreakBefore w:val="0"/>
              <w:numPr>
                <w:ilvl w:val="0"/>
                <w:numId w:val="2"/>
              </w:numPr>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vAlign w:val="center"/>
          </w:tcPr>
          <w:p w14:paraId="4AF8CDF4">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锰</w:t>
            </w:r>
          </w:p>
        </w:tc>
        <w:tc>
          <w:tcPr>
            <w:tcW w:w="1214" w:type="pct"/>
            <w:vAlign w:val="center"/>
          </w:tcPr>
          <w:p w14:paraId="60A64755">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368" w:type="pct"/>
            <w:shd w:val="clear" w:color="auto" w:fill="auto"/>
            <w:vAlign w:val="center"/>
          </w:tcPr>
          <w:p w14:paraId="3DE8D5F5">
            <w:pPr>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5C1AE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678D8EC5">
            <w:pPr>
              <w:keepNext w:val="0"/>
              <w:keepLines w:val="0"/>
              <w:pageBreakBefore w:val="0"/>
              <w:numPr>
                <w:ilvl w:val="0"/>
                <w:numId w:val="2"/>
              </w:numPr>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vAlign w:val="center"/>
          </w:tcPr>
          <w:p w14:paraId="60D8FFC4">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钼</w:t>
            </w:r>
          </w:p>
        </w:tc>
        <w:tc>
          <w:tcPr>
            <w:tcW w:w="1214" w:type="pct"/>
            <w:vAlign w:val="center"/>
          </w:tcPr>
          <w:p w14:paraId="7A2E316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368" w:type="pct"/>
            <w:shd w:val="clear" w:color="auto" w:fill="auto"/>
            <w:vAlign w:val="center"/>
          </w:tcPr>
          <w:p w14:paraId="28F378F0">
            <w:pPr>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0C65C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434767D9">
            <w:pPr>
              <w:keepNext w:val="0"/>
              <w:keepLines w:val="0"/>
              <w:pageBreakBefore w:val="0"/>
              <w:numPr>
                <w:ilvl w:val="0"/>
                <w:numId w:val="2"/>
              </w:numPr>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vAlign w:val="center"/>
          </w:tcPr>
          <w:p w14:paraId="52DA5542">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锡</w:t>
            </w:r>
          </w:p>
        </w:tc>
        <w:tc>
          <w:tcPr>
            <w:tcW w:w="1214" w:type="pct"/>
            <w:vAlign w:val="center"/>
          </w:tcPr>
          <w:p w14:paraId="4953A0B1">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368" w:type="pct"/>
            <w:shd w:val="clear" w:color="auto" w:fill="auto"/>
            <w:vAlign w:val="center"/>
          </w:tcPr>
          <w:p w14:paraId="2AA92BD6">
            <w:pPr>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79CB1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4CC27B63">
            <w:pPr>
              <w:keepNext w:val="0"/>
              <w:keepLines w:val="0"/>
              <w:pageBreakBefore w:val="0"/>
              <w:numPr>
                <w:ilvl w:val="0"/>
                <w:numId w:val="2"/>
              </w:numPr>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vAlign w:val="center"/>
          </w:tcPr>
          <w:p w14:paraId="539EDB66">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锌</w:t>
            </w:r>
          </w:p>
        </w:tc>
        <w:tc>
          <w:tcPr>
            <w:tcW w:w="1214" w:type="pct"/>
            <w:vAlign w:val="center"/>
          </w:tcPr>
          <w:p w14:paraId="7EBF0A1B">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368" w:type="pct"/>
            <w:shd w:val="clear" w:color="auto" w:fill="auto"/>
            <w:vAlign w:val="center"/>
          </w:tcPr>
          <w:p w14:paraId="5F9EF6AF">
            <w:pPr>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1CBD6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0A59966E">
            <w:pPr>
              <w:keepNext w:val="0"/>
              <w:keepLines w:val="0"/>
              <w:pageBreakBefore w:val="0"/>
              <w:numPr>
                <w:ilvl w:val="0"/>
                <w:numId w:val="2"/>
              </w:numPr>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vAlign w:val="center"/>
          </w:tcPr>
          <w:p w14:paraId="3951A8A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原材料要求(材料成分)</w:t>
            </w:r>
          </w:p>
        </w:tc>
        <w:tc>
          <w:tcPr>
            <w:tcW w:w="1214" w:type="pct"/>
            <w:vAlign w:val="center"/>
          </w:tcPr>
          <w:p w14:paraId="16CA3F10">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368" w:type="pct"/>
            <w:shd w:val="clear" w:color="auto" w:fill="auto"/>
            <w:vAlign w:val="center"/>
          </w:tcPr>
          <w:p w14:paraId="433E3112">
            <w:pPr>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kern w:val="0"/>
                <w:szCs w:val="21"/>
              </w:rPr>
              <w:t>GB/T 223（相关部分）</w:t>
            </w:r>
          </w:p>
        </w:tc>
      </w:tr>
      <w:tr w14:paraId="48D30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7506BC0C">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06A7F84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总迁移量</w:t>
            </w:r>
          </w:p>
        </w:tc>
        <w:tc>
          <w:tcPr>
            <w:tcW w:w="1214" w:type="pct"/>
            <w:shd w:val="clear" w:color="auto" w:fill="FFFFFF"/>
            <w:vAlign w:val="center"/>
          </w:tcPr>
          <w:p w14:paraId="3799E0DF">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368" w:type="pct"/>
            <w:shd w:val="clear" w:color="auto" w:fill="FFFFFF"/>
            <w:vAlign w:val="center"/>
          </w:tcPr>
          <w:p w14:paraId="26C5CBE9">
            <w:pPr>
              <w:shd w:val="clear" w:color="auto" w:fill="FFFFFF"/>
              <w:adjustRightInd w:val="0"/>
              <w:snapToGrid w:val="0"/>
              <w:jc w:val="center"/>
              <w:textAlignment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31604.8—2021</w:t>
            </w:r>
          </w:p>
        </w:tc>
      </w:tr>
      <w:tr w14:paraId="21CD7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1013FE1A">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31901A8C">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高锰酸钾消耗量</w:t>
            </w:r>
          </w:p>
        </w:tc>
        <w:tc>
          <w:tcPr>
            <w:tcW w:w="1214" w:type="pct"/>
            <w:shd w:val="clear" w:color="auto" w:fill="FFFFFF"/>
            <w:vAlign w:val="center"/>
          </w:tcPr>
          <w:p w14:paraId="21741D96">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368" w:type="pct"/>
            <w:shd w:val="clear" w:color="auto" w:fill="FFFFFF"/>
            <w:vAlign w:val="center"/>
          </w:tcPr>
          <w:p w14:paraId="575A2C23">
            <w:pPr>
              <w:shd w:val="clear" w:color="auto" w:fill="FFFFFF"/>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31604.2—2016</w:t>
            </w:r>
          </w:p>
        </w:tc>
      </w:tr>
      <w:tr w14:paraId="2E164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0B8D13BE">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40AA16EB">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重金属（以Pb计）</w:t>
            </w:r>
          </w:p>
        </w:tc>
        <w:tc>
          <w:tcPr>
            <w:tcW w:w="1214" w:type="pct"/>
            <w:shd w:val="clear" w:color="auto" w:fill="FFFFFF"/>
            <w:vAlign w:val="center"/>
          </w:tcPr>
          <w:p w14:paraId="26B2DB9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368" w:type="pct"/>
            <w:shd w:val="clear" w:color="auto" w:fill="FFFFFF"/>
            <w:vAlign w:val="center"/>
          </w:tcPr>
          <w:p w14:paraId="398F101B">
            <w:pPr>
              <w:shd w:val="clear" w:color="auto" w:fill="FFFFFF"/>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31604.9—2016</w:t>
            </w:r>
          </w:p>
        </w:tc>
      </w:tr>
      <w:tr w14:paraId="6E9E0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144B9169">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2192EE5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脱色试验</w:t>
            </w:r>
          </w:p>
        </w:tc>
        <w:tc>
          <w:tcPr>
            <w:tcW w:w="1214" w:type="pct"/>
            <w:shd w:val="clear" w:color="auto" w:fill="FFFFFF"/>
            <w:vAlign w:val="center"/>
          </w:tcPr>
          <w:p w14:paraId="3D8D4CE2">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368" w:type="pct"/>
            <w:shd w:val="clear" w:color="auto" w:fill="FFFFFF"/>
            <w:vAlign w:val="center"/>
          </w:tcPr>
          <w:p w14:paraId="29850972">
            <w:pPr>
              <w:shd w:val="clear" w:color="auto" w:fill="FFFFFF"/>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31604.7—2023</w:t>
            </w:r>
          </w:p>
        </w:tc>
      </w:tr>
      <w:tr w14:paraId="175F2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2CA57667">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18E36850">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芳香族伯胺迁移总量</w:t>
            </w:r>
          </w:p>
        </w:tc>
        <w:tc>
          <w:tcPr>
            <w:tcW w:w="1214" w:type="pct"/>
            <w:shd w:val="clear" w:color="auto" w:fill="FFFFFF"/>
            <w:vAlign w:val="center"/>
          </w:tcPr>
          <w:p w14:paraId="062C0A02">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368" w:type="pct"/>
            <w:shd w:val="clear" w:color="auto" w:fill="FFFFFF"/>
            <w:vAlign w:val="center"/>
          </w:tcPr>
          <w:p w14:paraId="71EDB5CD">
            <w:pPr>
              <w:shd w:val="clear" w:color="auto" w:fill="FFFFFF"/>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31604.52—2021</w:t>
            </w:r>
          </w:p>
        </w:tc>
      </w:tr>
      <w:tr w14:paraId="589BD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3245CBFA">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24E8A30F">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特定迁移总量（以己内酰胺计）（限PA材质）</w:t>
            </w:r>
          </w:p>
        </w:tc>
        <w:tc>
          <w:tcPr>
            <w:tcW w:w="1214" w:type="pct"/>
            <w:shd w:val="clear" w:color="auto" w:fill="FFFFFF"/>
            <w:vAlign w:val="center"/>
          </w:tcPr>
          <w:p w14:paraId="43C0FE86">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368" w:type="pct"/>
            <w:shd w:val="clear" w:color="auto" w:fill="FFFFFF"/>
            <w:vAlign w:val="center"/>
          </w:tcPr>
          <w:p w14:paraId="4E84F0BF">
            <w:pPr>
              <w:shd w:val="clear" w:color="auto" w:fill="FFFFFF"/>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31604.19—2016</w:t>
            </w:r>
          </w:p>
        </w:tc>
      </w:tr>
      <w:tr w14:paraId="62488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3E8D13EC">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0D0B1EC0">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氯乙烯特定迁移量（限PVC、PVDC材质）</w:t>
            </w:r>
          </w:p>
        </w:tc>
        <w:tc>
          <w:tcPr>
            <w:tcW w:w="1214" w:type="pct"/>
            <w:shd w:val="clear" w:color="auto" w:fill="FFFFFF"/>
            <w:vAlign w:val="center"/>
          </w:tcPr>
          <w:p w14:paraId="159D638F">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368" w:type="pct"/>
            <w:shd w:val="clear" w:color="auto" w:fill="FFFFFF"/>
            <w:vAlign w:val="center"/>
          </w:tcPr>
          <w:p w14:paraId="5B831C2C">
            <w:pPr>
              <w:shd w:val="clear" w:color="auto" w:fill="FFFFFF"/>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31604.31—20</w:t>
            </w:r>
            <w:r>
              <w:rPr>
                <w:rFonts w:hint="default" w:ascii="Times New Roman" w:hAnsi="Times New Roman" w:cs="Times New Roman"/>
                <w:color w:val="000000" w:themeColor="text1"/>
                <w:highlight w:val="none"/>
                <w:lang w:val="en-US" w:eastAsia="zh-CN"/>
                <w14:textFill>
                  <w14:solidFill>
                    <w14:schemeClr w14:val="tx1"/>
                  </w14:solidFill>
                </w14:textFill>
              </w:rPr>
              <w:t>25</w:t>
            </w:r>
          </w:p>
        </w:tc>
      </w:tr>
      <w:tr w14:paraId="20F66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28AED3D4">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69CFE209">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1，1-二氯乙烯</w:t>
            </w:r>
            <w:r>
              <w:rPr>
                <w:rFonts w:hint="default" w:ascii="Times New Roman" w:hAnsi="Times New Roman" w:cs="Times New Roman"/>
                <w:color w:val="000000" w:themeColor="text1"/>
                <w:highlight w:val="none"/>
                <w14:textFill>
                  <w14:solidFill>
                    <w14:schemeClr w14:val="tx1"/>
                  </w14:solidFill>
                </w14:textFill>
              </w:rPr>
              <w:t>特定迁移量（限PVDC材质）</w:t>
            </w:r>
          </w:p>
        </w:tc>
        <w:tc>
          <w:tcPr>
            <w:tcW w:w="1214" w:type="pct"/>
            <w:shd w:val="clear" w:color="auto" w:fill="FFFFFF"/>
            <w:vAlign w:val="center"/>
          </w:tcPr>
          <w:p w14:paraId="176819AE">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368" w:type="pct"/>
            <w:shd w:val="clear" w:color="auto" w:fill="FFFFFF"/>
            <w:vAlign w:val="center"/>
          </w:tcPr>
          <w:p w14:paraId="235D42D1">
            <w:pPr>
              <w:shd w:val="clear" w:color="auto" w:fill="FFFFFF"/>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31604.31—20</w:t>
            </w:r>
            <w:r>
              <w:rPr>
                <w:rFonts w:hint="default" w:ascii="Times New Roman" w:hAnsi="Times New Roman" w:cs="Times New Roman"/>
                <w:color w:val="000000" w:themeColor="text1"/>
                <w:highlight w:val="none"/>
                <w:lang w:val="en-US" w:eastAsia="zh-CN"/>
                <w14:textFill>
                  <w14:solidFill>
                    <w14:schemeClr w14:val="tx1"/>
                  </w14:solidFill>
                </w14:textFill>
              </w:rPr>
              <w:t>25</w:t>
            </w:r>
          </w:p>
        </w:tc>
      </w:tr>
      <w:tr w14:paraId="138DD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2946C735">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1CD52C67">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1，1-二氯乙烷</w:t>
            </w:r>
            <w:r>
              <w:rPr>
                <w:rFonts w:hint="default" w:ascii="Times New Roman" w:hAnsi="Times New Roman" w:cs="Times New Roman"/>
                <w:color w:val="000000" w:themeColor="text1"/>
                <w:highlight w:val="none"/>
                <w14:textFill>
                  <w14:solidFill>
                    <w14:schemeClr w14:val="tx1"/>
                  </w14:solidFill>
                </w14:textFill>
              </w:rPr>
              <w:t>特定迁移量（限PVC材质）</w:t>
            </w:r>
          </w:p>
        </w:tc>
        <w:tc>
          <w:tcPr>
            <w:tcW w:w="1214" w:type="pct"/>
            <w:shd w:val="clear" w:color="auto" w:fill="FFFFFF"/>
            <w:vAlign w:val="center"/>
          </w:tcPr>
          <w:p w14:paraId="0BB8687E">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368" w:type="pct"/>
            <w:shd w:val="clear" w:color="auto" w:fill="FFFFFF"/>
            <w:vAlign w:val="center"/>
          </w:tcPr>
          <w:p w14:paraId="694E3407">
            <w:pPr>
              <w:shd w:val="clear" w:color="auto" w:fill="FFFFFF"/>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31604.31—20</w:t>
            </w:r>
            <w:r>
              <w:rPr>
                <w:rFonts w:hint="default" w:ascii="Times New Roman" w:hAnsi="Times New Roman" w:cs="Times New Roman"/>
                <w:color w:val="000000" w:themeColor="text1"/>
                <w:highlight w:val="none"/>
                <w:lang w:val="en-US" w:eastAsia="zh-CN"/>
                <w14:textFill>
                  <w14:solidFill>
                    <w14:schemeClr w14:val="tx1"/>
                  </w14:solidFill>
                </w14:textFill>
              </w:rPr>
              <w:t>25</w:t>
            </w:r>
          </w:p>
        </w:tc>
      </w:tr>
      <w:tr w14:paraId="4B54E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44504951">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03C045FD">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特定迁移总量（以对苯二甲酸计）（限PET、PBT材质）</w:t>
            </w:r>
          </w:p>
        </w:tc>
        <w:tc>
          <w:tcPr>
            <w:tcW w:w="1214" w:type="pct"/>
            <w:shd w:val="clear" w:color="auto" w:fill="FFFFFF"/>
            <w:vAlign w:val="center"/>
          </w:tcPr>
          <w:p w14:paraId="5AE07B8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368" w:type="pct"/>
            <w:shd w:val="clear" w:color="auto" w:fill="FFFFFF"/>
            <w:vAlign w:val="center"/>
          </w:tcPr>
          <w:p w14:paraId="74441ED4">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31604.21—20</w:t>
            </w:r>
            <w:r>
              <w:rPr>
                <w:rFonts w:hint="default" w:ascii="Times New Roman" w:hAnsi="Times New Roman" w:cs="Times New Roman"/>
                <w:color w:val="000000" w:themeColor="text1"/>
                <w:highlight w:val="none"/>
                <w:lang w:val="en-US" w:eastAsia="zh-CN"/>
                <w14:textFill>
                  <w14:solidFill>
                    <w14:schemeClr w14:val="tx1"/>
                  </w14:solidFill>
                </w14:textFill>
              </w:rPr>
              <w:t>25</w:t>
            </w:r>
          </w:p>
        </w:tc>
      </w:tr>
      <w:tr w14:paraId="55FE4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6F2D0CA2">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747AEB97">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特定迁移总量（以</w:t>
            </w:r>
            <w:r>
              <w:rPr>
                <w:rFonts w:hint="default" w:ascii="Times New Roman" w:hAnsi="Times New Roman" w:cs="Times New Roman"/>
                <w:color w:val="000000" w:themeColor="text1"/>
                <w:highlight w:val="none"/>
                <w:lang w:val="en-US" w:eastAsia="zh-CN"/>
                <w14:textFill>
                  <w14:solidFill>
                    <w14:schemeClr w14:val="tx1"/>
                  </w14:solidFill>
                </w14:textFill>
              </w:rPr>
              <w:t>间</w:t>
            </w:r>
            <w:r>
              <w:rPr>
                <w:rFonts w:hint="default" w:ascii="Times New Roman" w:hAnsi="Times New Roman" w:cs="Times New Roman"/>
                <w:color w:val="000000" w:themeColor="text1"/>
                <w:highlight w:val="none"/>
                <w14:textFill>
                  <w14:solidFill>
                    <w14:schemeClr w14:val="tx1"/>
                  </w14:solidFill>
                </w14:textFill>
              </w:rPr>
              <w:t>苯二甲酸计）（限PET材质）</w:t>
            </w:r>
          </w:p>
        </w:tc>
        <w:tc>
          <w:tcPr>
            <w:tcW w:w="1214" w:type="pct"/>
            <w:shd w:val="clear" w:color="auto" w:fill="FFFFFF"/>
            <w:vAlign w:val="center"/>
          </w:tcPr>
          <w:p w14:paraId="063182D8">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368" w:type="pct"/>
            <w:shd w:val="clear" w:color="auto" w:fill="FFFFFF"/>
            <w:vAlign w:val="center"/>
          </w:tcPr>
          <w:p w14:paraId="24A63959">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31604.21—</w:t>
            </w:r>
            <w:r>
              <w:rPr>
                <w:rFonts w:hint="default" w:ascii="Times New Roman" w:hAnsi="Times New Roman" w:cs="Times New Roman"/>
                <w:color w:val="000000" w:themeColor="text1"/>
                <w:highlight w:val="none"/>
                <w:lang w:val="en-US" w:eastAsia="zh-CN"/>
                <w14:textFill>
                  <w14:solidFill>
                    <w14:schemeClr w14:val="tx1"/>
                  </w14:solidFill>
                </w14:textFill>
              </w:rPr>
              <w:t>2025</w:t>
            </w:r>
          </w:p>
        </w:tc>
      </w:tr>
      <w:tr w14:paraId="23075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4AA30751">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7A405BBC">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特定迁移总量（以1,2</w:t>
            </w:r>
            <w:r>
              <w:rPr>
                <w:rFonts w:hint="eastAsia" w:ascii="Times New Roman" w:hAnsi="Times New Roman" w:cs="Times New Roman"/>
                <w:color w:val="000000" w:themeColor="text1"/>
                <w:highlight w:val="none"/>
                <w:lang w:val="en-US"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乙二醇计）（限PET材质）</w:t>
            </w:r>
          </w:p>
        </w:tc>
        <w:tc>
          <w:tcPr>
            <w:tcW w:w="1214" w:type="pct"/>
            <w:shd w:val="clear" w:color="auto" w:fill="FFFFFF"/>
            <w:vAlign w:val="center"/>
          </w:tcPr>
          <w:p w14:paraId="62F06532">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368" w:type="pct"/>
            <w:shd w:val="clear" w:color="auto" w:fill="FFFFFF"/>
            <w:vAlign w:val="center"/>
          </w:tcPr>
          <w:p w14:paraId="4250E54A">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31604.44—2016</w:t>
            </w:r>
          </w:p>
        </w:tc>
      </w:tr>
      <w:tr w14:paraId="5F481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61081ECF">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04BB8E49">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特定迁移总量（以1,4</w:t>
            </w:r>
            <w:r>
              <w:rPr>
                <w:rFonts w:hint="eastAsia" w:ascii="Times New Roman" w:hAnsi="Times New Roman" w:cs="Times New Roman"/>
                <w:color w:val="000000" w:themeColor="text1"/>
                <w:highlight w:val="none"/>
                <w:lang w:val="en-US"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丁二醇计）（限PBT材质）</w:t>
            </w:r>
          </w:p>
        </w:tc>
        <w:tc>
          <w:tcPr>
            <w:tcW w:w="1214" w:type="pct"/>
            <w:shd w:val="clear" w:color="auto" w:fill="FFFFFF"/>
            <w:vAlign w:val="center"/>
          </w:tcPr>
          <w:p w14:paraId="42BD9EC3">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368" w:type="pct"/>
            <w:shd w:val="clear" w:color="auto" w:fill="FFFFFF"/>
            <w:vAlign w:val="center"/>
          </w:tcPr>
          <w:p w14:paraId="7D9AD957">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31604.51—2021</w:t>
            </w:r>
          </w:p>
        </w:tc>
      </w:tr>
      <w:tr w14:paraId="6A5AA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43DB9615">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68304587">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1,3</w:t>
            </w:r>
            <w:r>
              <w:rPr>
                <w:rFonts w:hint="eastAsia" w:ascii="Times New Roman" w:hAnsi="Times New Roman" w:cs="Times New Roman"/>
                <w:color w:val="000000" w:themeColor="text1"/>
                <w:highlight w:val="none"/>
                <w:lang w:val="en-US"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丁二烯特定迁移量（限有丁二烯单体的聚合物）</w:t>
            </w:r>
          </w:p>
        </w:tc>
        <w:tc>
          <w:tcPr>
            <w:tcW w:w="1214" w:type="pct"/>
            <w:shd w:val="clear" w:color="auto" w:fill="FFFFFF"/>
            <w:vAlign w:val="center"/>
          </w:tcPr>
          <w:p w14:paraId="3BB4ABB2">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368" w:type="pct"/>
            <w:shd w:val="clear" w:color="auto" w:fill="FFFFFF"/>
            <w:vAlign w:val="center"/>
          </w:tcPr>
          <w:p w14:paraId="1E3CDB56">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31604.12—2016</w:t>
            </w:r>
          </w:p>
        </w:tc>
      </w:tr>
      <w:tr w14:paraId="5312A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364FA0B5">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098BCDFF">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邻苯类增塑剂特定迁移量（限PVC材质）</w:t>
            </w:r>
          </w:p>
        </w:tc>
        <w:tc>
          <w:tcPr>
            <w:tcW w:w="1214" w:type="pct"/>
            <w:shd w:val="clear" w:color="auto" w:fill="FFFFFF"/>
            <w:vAlign w:val="center"/>
          </w:tcPr>
          <w:p w14:paraId="3F8473B1">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368" w:type="pct"/>
            <w:shd w:val="clear" w:color="auto" w:fill="FFFFFF"/>
            <w:vAlign w:val="center"/>
          </w:tcPr>
          <w:p w14:paraId="6BC46D8E">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31604.30—20</w:t>
            </w:r>
            <w:r>
              <w:rPr>
                <w:rFonts w:hint="default" w:ascii="Times New Roman" w:hAnsi="Times New Roman" w:cs="Times New Roman"/>
                <w:color w:val="000000" w:themeColor="text1"/>
                <w:highlight w:val="none"/>
                <w:lang w:val="en-US" w:eastAsia="zh-CN"/>
                <w14:textFill>
                  <w14:solidFill>
                    <w14:schemeClr w14:val="tx1"/>
                  </w14:solidFill>
                </w14:textFill>
              </w:rPr>
              <w:t>25</w:t>
            </w:r>
          </w:p>
        </w:tc>
      </w:tr>
      <w:tr w14:paraId="2BB8B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6DE767FC">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2359916F">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bidi="ar"/>
                <w14:textFill>
                  <w14:solidFill>
                    <w14:schemeClr w14:val="tx1"/>
                  </w14:solidFill>
                </w14:textFill>
              </w:rPr>
              <w:t>总迁移量</w:t>
            </w:r>
          </w:p>
        </w:tc>
        <w:tc>
          <w:tcPr>
            <w:tcW w:w="1214" w:type="pct"/>
            <w:shd w:val="clear" w:color="auto" w:fill="FFFFFF"/>
            <w:vAlign w:val="center"/>
          </w:tcPr>
          <w:p w14:paraId="60612D7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 xml:space="preserve">GB 4806.11—2023 </w:t>
            </w:r>
          </w:p>
        </w:tc>
        <w:tc>
          <w:tcPr>
            <w:tcW w:w="1368" w:type="pct"/>
            <w:shd w:val="clear" w:color="auto" w:fill="FFFFFF"/>
            <w:vAlign w:val="center"/>
          </w:tcPr>
          <w:p w14:paraId="1A596AE2">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31604.8—2021</w:t>
            </w:r>
          </w:p>
        </w:tc>
      </w:tr>
      <w:tr w14:paraId="2E2E0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68180107">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4EAB37DD">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bidi="ar"/>
                <w14:textFill>
                  <w14:solidFill>
                    <w14:schemeClr w14:val="tx1"/>
                  </w14:solidFill>
                </w14:textFill>
              </w:rPr>
              <w:t>高锰酸钾消耗量</w:t>
            </w:r>
          </w:p>
        </w:tc>
        <w:tc>
          <w:tcPr>
            <w:tcW w:w="1214" w:type="pct"/>
            <w:shd w:val="clear" w:color="auto" w:fill="FFFFFF"/>
            <w:vAlign w:val="center"/>
          </w:tcPr>
          <w:p w14:paraId="7CEDDB53">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 xml:space="preserve">GB 4806.11—2023 </w:t>
            </w:r>
          </w:p>
        </w:tc>
        <w:tc>
          <w:tcPr>
            <w:tcW w:w="1368" w:type="pct"/>
            <w:shd w:val="clear" w:color="auto" w:fill="FFFFFF"/>
            <w:vAlign w:val="center"/>
          </w:tcPr>
          <w:p w14:paraId="5EFF7CE8">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31604.2—2016</w:t>
            </w:r>
          </w:p>
        </w:tc>
      </w:tr>
      <w:tr w14:paraId="01E8C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1F7A204C">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3342DCB8">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bidi="ar"/>
                <w14:textFill>
                  <w14:solidFill>
                    <w14:schemeClr w14:val="tx1"/>
                  </w14:solidFill>
                </w14:textFill>
              </w:rPr>
              <w:t>重金属（以Pb计）</w:t>
            </w:r>
          </w:p>
        </w:tc>
        <w:tc>
          <w:tcPr>
            <w:tcW w:w="1214" w:type="pct"/>
            <w:shd w:val="clear" w:color="auto" w:fill="FFFFFF"/>
            <w:vAlign w:val="center"/>
          </w:tcPr>
          <w:p w14:paraId="11FA62A2">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 xml:space="preserve">GB 4806.11—2023 </w:t>
            </w:r>
          </w:p>
        </w:tc>
        <w:tc>
          <w:tcPr>
            <w:tcW w:w="1368" w:type="pct"/>
            <w:shd w:val="clear" w:color="auto" w:fill="FFFFFF"/>
            <w:vAlign w:val="center"/>
          </w:tcPr>
          <w:p w14:paraId="539DAB05">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31604.9—2016</w:t>
            </w:r>
          </w:p>
        </w:tc>
      </w:tr>
      <w:tr w14:paraId="5464A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50732EC8">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7A533DB0">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芳香族伯胺迁移总量</w:t>
            </w:r>
          </w:p>
        </w:tc>
        <w:tc>
          <w:tcPr>
            <w:tcW w:w="1214" w:type="pct"/>
            <w:shd w:val="clear" w:color="auto" w:fill="FFFFFF"/>
            <w:vAlign w:val="center"/>
          </w:tcPr>
          <w:p w14:paraId="43045A53">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 xml:space="preserve">GB 4806.11—2023 </w:t>
            </w:r>
          </w:p>
        </w:tc>
        <w:tc>
          <w:tcPr>
            <w:tcW w:w="1368" w:type="pct"/>
            <w:shd w:val="clear" w:color="auto" w:fill="FFFFFF"/>
            <w:vAlign w:val="center"/>
          </w:tcPr>
          <w:p w14:paraId="2A909846">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31604.52—2021</w:t>
            </w:r>
          </w:p>
        </w:tc>
      </w:tr>
      <w:tr w14:paraId="67749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1954CAC2">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1B475DDD">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N</w:t>
            </w:r>
            <w:r>
              <w:rPr>
                <w:rFonts w:hint="eastAsia" w:ascii="Times New Roman" w:hAnsi="Times New Roman" w:cs="Times New Roman"/>
                <w:color w:val="000000" w:themeColor="text1"/>
                <w:highlight w:val="none"/>
                <w:lang w:val="en-US"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亚硝胺和N</w:t>
            </w:r>
            <w:r>
              <w:rPr>
                <w:rFonts w:hint="eastAsia" w:ascii="Times New Roman" w:hAnsi="Times New Roman" w:cs="Times New Roman"/>
                <w:color w:val="000000" w:themeColor="text1"/>
                <w:highlight w:val="none"/>
                <w:lang w:val="en-US"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亚硝胺可生成物迁移总量</w:t>
            </w:r>
          </w:p>
        </w:tc>
        <w:tc>
          <w:tcPr>
            <w:tcW w:w="1214" w:type="pct"/>
            <w:shd w:val="clear" w:color="auto" w:fill="FFFFFF"/>
            <w:vAlign w:val="center"/>
          </w:tcPr>
          <w:p w14:paraId="35B55D6C">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 xml:space="preserve">GB 4806.11—2023 </w:t>
            </w:r>
          </w:p>
        </w:tc>
        <w:tc>
          <w:tcPr>
            <w:tcW w:w="1368" w:type="pct"/>
            <w:shd w:val="clear" w:color="auto" w:fill="FFFFFF"/>
            <w:vAlign w:val="center"/>
          </w:tcPr>
          <w:p w14:paraId="124A85C5">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w:t>
            </w:r>
            <w:r>
              <w:rPr>
                <w:rFonts w:hint="default" w:ascii="Times New Roman" w:hAnsi="Times New Roman" w:cs="Times New Roman"/>
                <w:color w:val="000000" w:themeColor="text1"/>
                <w:highlight w:val="none"/>
                <w:lang w:val="en-US" w:eastAsia="zh-CN"/>
                <w14:textFill>
                  <w14:solidFill>
                    <w14:schemeClr w14:val="tx1"/>
                  </w14:solidFill>
                </w14:textFill>
              </w:rPr>
              <w:t>6</w:t>
            </w:r>
            <w:r>
              <w:rPr>
                <w:rFonts w:hint="default" w:ascii="Times New Roman" w:hAnsi="Times New Roman" w:cs="Times New Roman"/>
                <w:color w:val="000000" w:themeColor="text1"/>
                <w:highlight w:val="none"/>
                <w14:textFill>
                  <w14:solidFill>
                    <w14:schemeClr w14:val="tx1"/>
                  </w14:solidFill>
                </w14:textFill>
              </w:rPr>
              <w:t>2—202</w:t>
            </w:r>
            <w:r>
              <w:rPr>
                <w:rFonts w:hint="default" w:ascii="Times New Roman" w:hAnsi="Times New Roman" w:cs="Times New Roman"/>
                <w:color w:val="000000" w:themeColor="text1"/>
                <w:highlight w:val="none"/>
                <w:lang w:val="en-US" w:eastAsia="zh-CN"/>
                <w14:textFill>
                  <w14:solidFill>
                    <w14:schemeClr w14:val="tx1"/>
                  </w14:solidFill>
                </w14:textFill>
              </w:rPr>
              <w:t>5</w:t>
            </w:r>
          </w:p>
        </w:tc>
      </w:tr>
      <w:tr w14:paraId="05A5A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34380C7D">
            <w:pPr>
              <w:pStyle w:val="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127" w:type="pct"/>
            <w:vAlign w:val="center"/>
          </w:tcPr>
          <w:p w14:paraId="455EF92E">
            <w:pPr>
              <w:shd w:val="clear" w:color="auto" w:fill="FFFFFF"/>
              <w:adjustRightInd w:val="0"/>
              <w:snapToGrid w:val="0"/>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highlight w:val="none"/>
                <w:lang w:bidi="ar"/>
                <w14:textFill>
                  <w14:solidFill>
                    <w14:schemeClr w14:val="tx1"/>
                  </w14:solidFill>
                </w14:textFill>
              </w:rPr>
              <w:t>总迁移量</w:t>
            </w:r>
          </w:p>
        </w:tc>
        <w:tc>
          <w:tcPr>
            <w:tcW w:w="1214" w:type="pct"/>
            <w:shd w:val="clear" w:color="auto" w:fill="FFFFFF"/>
            <w:vAlign w:val="center"/>
          </w:tcPr>
          <w:p w14:paraId="4DC19B0E">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4806.11—2016</w:t>
            </w:r>
          </w:p>
          <w:p w14:paraId="0A164CC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4806.16—2025</w:t>
            </w:r>
          </w:p>
        </w:tc>
        <w:tc>
          <w:tcPr>
            <w:tcW w:w="1368" w:type="pct"/>
            <w:shd w:val="clear" w:color="auto" w:fill="FFFFFF"/>
            <w:vAlign w:val="center"/>
          </w:tcPr>
          <w:p w14:paraId="5F8B7D74">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31604.8—2021</w:t>
            </w:r>
          </w:p>
        </w:tc>
      </w:tr>
      <w:tr w14:paraId="4BDDD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7C3DDAFD">
            <w:pPr>
              <w:pStyle w:val="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127" w:type="pct"/>
            <w:vAlign w:val="center"/>
          </w:tcPr>
          <w:p w14:paraId="07F5FE07">
            <w:pPr>
              <w:shd w:val="clear" w:color="auto" w:fill="FFFFFF"/>
              <w:adjustRightInd w:val="0"/>
              <w:snapToGrid w:val="0"/>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highlight w:val="none"/>
                <w:lang w:bidi="ar"/>
                <w14:textFill>
                  <w14:solidFill>
                    <w14:schemeClr w14:val="tx1"/>
                  </w14:solidFill>
                </w14:textFill>
              </w:rPr>
              <w:t>高锰酸钾消耗量</w:t>
            </w:r>
          </w:p>
        </w:tc>
        <w:tc>
          <w:tcPr>
            <w:tcW w:w="1214" w:type="pct"/>
            <w:shd w:val="clear" w:color="auto" w:fill="FFFFFF"/>
            <w:vAlign w:val="center"/>
          </w:tcPr>
          <w:p w14:paraId="4353A8CA">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4806.11—2016</w:t>
            </w:r>
          </w:p>
          <w:p w14:paraId="639C0B18">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4806.16—2025</w:t>
            </w:r>
          </w:p>
        </w:tc>
        <w:tc>
          <w:tcPr>
            <w:tcW w:w="1368" w:type="pct"/>
            <w:shd w:val="clear" w:color="auto" w:fill="FFFFFF"/>
            <w:vAlign w:val="center"/>
          </w:tcPr>
          <w:p w14:paraId="6ACE715B">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31604.2—2016</w:t>
            </w:r>
          </w:p>
        </w:tc>
      </w:tr>
      <w:tr w14:paraId="0BDD7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48552AAD">
            <w:pPr>
              <w:pStyle w:val="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127" w:type="pct"/>
            <w:vAlign w:val="center"/>
          </w:tcPr>
          <w:p w14:paraId="77CC0AD0">
            <w:pPr>
              <w:shd w:val="clear" w:color="auto" w:fill="FFFFFF"/>
              <w:adjustRightInd w:val="0"/>
              <w:snapToGrid w:val="0"/>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highlight w:val="none"/>
                <w:lang w:bidi="ar"/>
                <w14:textFill>
                  <w14:solidFill>
                    <w14:schemeClr w14:val="tx1"/>
                  </w14:solidFill>
                </w14:textFill>
              </w:rPr>
              <w:t>重金属（以Pb计）</w:t>
            </w:r>
          </w:p>
        </w:tc>
        <w:tc>
          <w:tcPr>
            <w:tcW w:w="1214" w:type="pct"/>
            <w:shd w:val="clear" w:color="auto" w:fill="FFFFFF"/>
            <w:vAlign w:val="center"/>
          </w:tcPr>
          <w:p w14:paraId="5CCB985C">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4806.11—2016</w:t>
            </w:r>
          </w:p>
          <w:p w14:paraId="6878ADFE">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4806.16—2025</w:t>
            </w:r>
          </w:p>
        </w:tc>
        <w:tc>
          <w:tcPr>
            <w:tcW w:w="1368" w:type="pct"/>
            <w:shd w:val="clear" w:color="auto" w:fill="FFFFFF"/>
            <w:vAlign w:val="center"/>
          </w:tcPr>
          <w:p w14:paraId="17192F3F">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31604.9—2016</w:t>
            </w:r>
          </w:p>
        </w:tc>
      </w:tr>
      <w:tr w14:paraId="53A2D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00A81D44">
            <w:pPr>
              <w:pStyle w:val="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127" w:type="pct"/>
            <w:vAlign w:val="center"/>
          </w:tcPr>
          <w:p w14:paraId="1D08835A">
            <w:pPr>
              <w:shd w:val="clear" w:color="auto" w:fill="FFFFFF"/>
              <w:adjustRightInd w:val="0"/>
              <w:snapToGrid w:val="0"/>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sz w:val="21"/>
                <w:szCs w:val="21"/>
                <w:highlight w:val="none"/>
                <w:lang w:eastAsia="zh-CN"/>
                <w14:textFill>
                  <w14:solidFill>
                    <w14:schemeClr w14:val="tx1"/>
                  </w14:solidFill>
                </w14:textFill>
              </w:rPr>
              <w:t>挥发性物质</w:t>
            </w:r>
          </w:p>
        </w:tc>
        <w:tc>
          <w:tcPr>
            <w:tcW w:w="1214" w:type="pct"/>
            <w:shd w:val="clear" w:color="auto" w:fill="FFFFFF"/>
            <w:vAlign w:val="center"/>
          </w:tcPr>
          <w:p w14:paraId="166DC9B0">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4806.16—2025</w:t>
            </w:r>
          </w:p>
        </w:tc>
        <w:tc>
          <w:tcPr>
            <w:tcW w:w="1368" w:type="pct"/>
            <w:shd w:val="clear" w:color="auto" w:fill="FFFFFF"/>
            <w:vAlign w:val="center"/>
          </w:tcPr>
          <w:p w14:paraId="1145C912">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w:t>
            </w:r>
            <w:r>
              <w:rPr>
                <w:rFonts w:hint="default" w:ascii="Times New Roman" w:hAnsi="Times New Roman" w:cs="Times New Roman"/>
                <w:color w:val="000000" w:themeColor="text1"/>
                <w:highlight w:val="none"/>
                <w:lang w:val="en-US" w:eastAsia="zh-CN"/>
                <w14:textFill>
                  <w14:solidFill>
                    <w14:schemeClr w14:val="tx1"/>
                  </w14:solidFill>
                </w14:textFill>
              </w:rPr>
              <w:t>6</w:t>
            </w:r>
            <w:r>
              <w:rPr>
                <w:rFonts w:hint="default" w:ascii="Times New Roman" w:hAnsi="Times New Roman" w:cs="Times New Roman"/>
                <w:color w:val="000000" w:themeColor="text1"/>
                <w:highlight w:val="none"/>
                <w14:textFill>
                  <w14:solidFill>
                    <w14:schemeClr w14:val="tx1"/>
                  </w14:solidFill>
                </w14:textFill>
              </w:rPr>
              <w:t>—202</w:t>
            </w:r>
            <w:r>
              <w:rPr>
                <w:rFonts w:hint="default" w:ascii="Times New Roman" w:hAnsi="Times New Roman" w:cs="Times New Roman"/>
                <w:color w:val="000000" w:themeColor="text1"/>
                <w:highlight w:val="none"/>
                <w:lang w:val="en-US" w:eastAsia="zh-CN"/>
                <w14:textFill>
                  <w14:solidFill>
                    <w14:schemeClr w14:val="tx1"/>
                  </w14:solidFill>
                </w14:textFill>
              </w:rPr>
              <w:t>5</w:t>
            </w:r>
          </w:p>
        </w:tc>
      </w:tr>
      <w:tr w14:paraId="61533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54D641FA">
            <w:pPr>
              <w:pStyle w:val="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127" w:type="pct"/>
            <w:vAlign w:val="center"/>
          </w:tcPr>
          <w:p w14:paraId="18ECEACF">
            <w:pPr>
              <w:pStyle w:val="7"/>
              <w:adjustRightInd w:val="0"/>
              <w:snapToGrid w:val="0"/>
              <w:spacing w:line="240" w:lineRule="auto"/>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对触及带电部件的防护</w:t>
            </w:r>
          </w:p>
        </w:tc>
        <w:tc>
          <w:tcPr>
            <w:tcW w:w="1214" w:type="pct"/>
            <w:shd w:val="clear" w:color="auto" w:fill="FFFFFF"/>
            <w:vAlign w:val="center"/>
          </w:tcPr>
          <w:p w14:paraId="66923AF3">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6D254C96">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04375543">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4706.1—2024</w:t>
            </w:r>
          </w:p>
          <w:p w14:paraId="07C82293">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4706.38—2024</w:t>
            </w:r>
          </w:p>
        </w:tc>
        <w:tc>
          <w:tcPr>
            <w:tcW w:w="1368" w:type="pct"/>
            <w:shd w:val="clear" w:color="auto" w:fill="FFFFFF"/>
            <w:vAlign w:val="center"/>
          </w:tcPr>
          <w:p w14:paraId="14652434">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208B4A5C">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78C1160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14:paraId="638321C0">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14:paraId="75E00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0EB4AB3D">
            <w:pPr>
              <w:pStyle w:val="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127" w:type="pct"/>
            <w:vAlign w:val="center"/>
          </w:tcPr>
          <w:p w14:paraId="2C8ADEC8">
            <w:pPr>
              <w:pStyle w:val="7"/>
              <w:adjustRightInd w:val="0"/>
              <w:snapToGrid w:val="0"/>
              <w:spacing w:line="240" w:lineRule="auto"/>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输入功率和电流</w:t>
            </w:r>
          </w:p>
        </w:tc>
        <w:tc>
          <w:tcPr>
            <w:tcW w:w="1214" w:type="pct"/>
            <w:shd w:val="clear" w:color="auto" w:fill="FFFFFF"/>
            <w:vAlign w:val="center"/>
          </w:tcPr>
          <w:p w14:paraId="4B2E69A3">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4AC6D20A">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03088B93">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4706.1—2024</w:t>
            </w:r>
          </w:p>
          <w:p w14:paraId="72975E8A">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4706.38—2024</w:t>
            </w:r>
          </w:p>
        </w:tc>
        <w:tc>
          <w:tcPr>
            <w:tcW w:w="1368" w:type="pct"/>
            <w:shd w:val="clear" w:color="auto" w:fill="FFFFFF"/>
            <w:vAlign w:val="center"/>
          </w:tcPr>
          <w:p w14:paraId="5A5BDBE6">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1DC27471">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2F0BB06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14:paraId="1752FDF3">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14:paraId="4BB54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3930B3BE">
            <w:pPr>
              <w:pStyle w:val="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127" w:type="pct"/>
            <w:vAlign w:val="center"/>
          </w:tcPr>
          <w:p w14:paraId="2A4460F3">
            <w:pPr>
              <w:pStyle w:val="7"/>
              <w:adjustRightInd w:val="0"/>
              <w:snapToGrid w:val="0"/>
              <w:spacing w:line="240" w:lineRule="auto"/>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工作温度下的泄漏电流和电气强度</w:t>
            </w:r>
          </w:p>
        </w:tc>
        <w:tc>
          <w:tcPr>
            <w:tcW w:w="1214" w:type="pct"/>
            <w:shd w:val="clear" w:color="auto" w:fill="FFFFFF"/>
            <w:vAlign w:val="center"/>
          </w:tcPr>
          <w:p w14:paraId="1320A63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7A0DB8EA">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3538355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4706.1—2024</w:t>
            </w:r>
          </w:p>
          <w:p w14:paraId="07E1955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4706.38—2024</w:t>
            </w:r>
          </w:p>
        </w:tc>
        <w:tc>
          <w:tcPr>
            <w:tcW w:w="1368" w:type="pct"/>
            <w:shd w:val="clear" w:color="auto" w:fill="FFFFFF"/>
            <w:vAlign w:val="center"/>
          </w:tcPr>
          <w:p w14:paraId="06F7DF9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03E76D6E">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2C6378D2">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14:paraId="71DF4034">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14:paraId="30921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417675B9">
            <w:pPr>
              <w:pStyle w:val="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127" w:type="pct"/>
            <w:vAlign w:val="center"/>
          </w:tcPr>
          <w:p w14:paraId="0426A772">
            <w:pPr>
              <w:pStyle w:val="7"/>
              <w:adjustRightInd w:val="0"/>
              <w:snapToGrid w:val="0"/>
              <w:spacing w:line="240" w:lineRule="auto"/>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泄漏电流和电气强度</w:t>
            </w:r>
          </w:p>
        </w:tc>
        <w:tc>
          <w:tcPr>
            <w:tcW w:w="1214" w:type="pct"/>
            <w:shd w:val="clear" w:color="auto" w:fill="FFFFFF"/>
            <w:vAlign w:val="center"/>
          </w:tcPr>
          <w:p w14:paraId="1B199C08">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36F99546">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56390AD0">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4706.1—2024</w:t>
            </w:r>
          </w:p>
          <w:p w14:paraId="0D370B9F">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4706.38—2024</w:t>
            </w:r>
          </w:p>
        </w:tc>
        <w:tc>
          <w:tcPr>
            <w:tcW w:w="1368" w:type="pct"/>
            <w:shd w:val="clear" w:color="auto" w:fill="FFFFFF"/>
            <w:vAlign w:val="center"/>
          </w:tcPr>
          <w:p w14:paraId="6F362748">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354BC94B">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3EFFD2E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14:paraId="39BF6551">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14:paraId="32B86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5D1F00B0">
            <w:pPr>
              <w:pStyle w:val="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127" w:type="pct"/>
            <w:vAlign w:val="center"/>
          </w:tcPr>
          <w:p w14:paraId="1751FCD7">
            <w:pPr>
              <w:pStyle w:val="7"/>
              <w:adjustRightInd w:val="0"/>
              <w:snapToGrid w:val="0"/>
              <w:spacing w:line="240" w:lineRule="auto"/>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非正常工作</w:t>
            </w:r>
          </w:p>
        </w:tc>
        <w:tc>
          <w:tcPr>
            <w:tcW w:w="1214" w:type="pct"/>
            <w:shd w:val="clear" w:color="auto" w:fill="FFFFFF"/>
            <w:vAlign w:val="center"/>
          </w:tcPr>
          <w:p w14:paraId="4AA00BAA">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73528D3F">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4993FB0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4706.1—2024</w:t>
            </w:r>
          </w:p>
          <w:p w14:paraId="1DAE909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4706.38—2024</w:t>
            </w:r>
          </w:p>
        </w:tc>
        <w:tc>
          <w:tcPr>
            <w:tcW w:w="1368" w:type="pct"/>
            <w:shd w:val="clear" w:color="auto" w:fill="FFFFFF"/>
            <w:vAlign w:val="center"/>
          </w:tcPr>
          <w:p w14:paraId="1EAFBBE3">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2E26C7CF">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1795012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14:paraId="17E2DAEA">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14:paraId="77139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0CE89497">
            <w:pPr>
              <w:pStyle w:val="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127" w:type="pct"/>
            <w:vAlign w:val="center"/>
          </w:tcPr>
          <w:p w14:paraId="7CDE3C11">
            <w:pPr>
              <w:pStyle w:val="7"/>
              <w:adjustRightInd w:val="0"/>
              <w:snapToGrid w:val="0"/>
              <w:spacing w:line="240" w:lineRule="auto"/>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稳定性和机械危险</w:t>
            </w:r>
          </w:p>
        </w:tc>
        <w:tc>
          <w:tcPr>
            <w:tcW w:w="1214" w:type="pct"/>
            <w:shd w:val="clear" w:color="auto" w:fill="FFFFFF"/>
            <w:vAlign w:val="center"/>
          </w:tcPr>
          <w:p w14:paraId="283DB68F">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616176EF">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14FC427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4706.1—2024</w:t>
            </w:r>
          </w:p>
          <w:p w14:paraId="5ABB9BC0">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4706.38—2024</w:t>
            </w:r>
          </w:p>
        </w:tc>
        <w:tc>
          <w:tcPr>
            <w:tcW w:w="1368" w:type="pct"/>
            <w:shd w:val="clear" w:color="auto" w:fill="FFFFFF"/>
            <w:vAlign w:val="center"/>
          </w:tcPr>
          <w:p w14:paraId="5E6A1510">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46CB3FA2">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13795B7E">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14:paraId="53A61F84">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14:paraId="6C9A9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57F45964">
            <w:pPr>
              <w:pStyle w:val="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127" w:type="pct"/>
            <w:vAlign w:val="center"/>
          </w:tcPr>
          <w:p w14:paraId="5146F2AB">
            <w:pPr>
              <w:pStyle w:val="7"/>
              <w:adjustRightInd w:val="0"/>
              <w:snapToGrid w:val="0"/>
              <w:spacing w:line="240" w:lineRule="auto"/>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机械强度</w:t>
            </w:r>
          </w:p>
        </w:tc>
        <w:tc>
          <w:tcPr>
            <w:tcW w:w="1214" w:type="pct"/>
            <w:shd w:val="clear" w:color="auto" w:fill="FFFFFF"/>
            <w:vAlign w:val="center"/>
          </w:tcPr>
          <w:p w14:paraId="4E10DF1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2E8AE38E">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07C14C5A">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4706.1—2024</w:t>
            </w:r>
          </w:p>
          <w:p w14:paraId="24A3777E">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4706.38—2024</w:t>
            </w:r>
          </w:p>
        </w:tc>
        <w:tc>
          <w:tcPr>
            <w:tcW w:w="1368" w:type="pct"/>
            <w:shd w:val="clear" w:color="auto" w:fill="FFFFFF"/>
            <w:vAlign w:val="center"/>
          </w:tcPr>
          <w:p w14:paraId="7959341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12210631">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3336248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14:paraId="115784C0">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14:paraId="5CB8C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47C5E139">
            <w:pPr>
              <w:pStyle w:val="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127" w:type="pct"/>
            <w:vAlign w:val="center"/>
          </w:tcPr>
          <w:p w14:paraId="4F223983">
            <w:pPr>
              <w:pStyle w:val="7"/>
              <w:adjustRightInd w:val="0"/>
              <w:snapToGrid w:val="0"/>
              <w:spacing w:line="240" w:lineRule="auto"/>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结构</w:t>
            </w:r>
          </w:p>
        </w:tc>
        <w:tc>
          <w:tcPr>
            <w:tcW w:w="1214" w:type="pct"/>
            <w:shd w:val="clear" w:color="auto" w:fill="FFFFFF"/>
            <w:vAlign w:val="center"/>
          </w:tcPr>
          <w:p w14:paraId="6EA62545">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67BDD765">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6D3271FE">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4706.1—2024</w:t>
            </w:r>
          </w:p>
          <w:p w14:paraId="7656957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4706.38—2024</w:t>
            </w:r>
          </w:p>
        </w:tc>
        <w:tc>
          <w:tcPr>
            <w:tcW w:w="1368" w:type="pct"/>
            <w:shd w:val="clear" w:color="auto" w:fill="FFFFFF"/>
            <w:vAlign w:val="center"/>
          </w:tcPr>
          <w:p w14:paraId="115BC71C">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006B6D7E">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61FA95D8">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14:paraId="3A77AD45">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14:paraId="74311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6DBC3F87">
            <w:pPr>
              <w:pStyle w:val="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127" w:type="pct"/>
            <w:vAlign w:val="center"/>
          </w:tcPr>
          <w:p w14:paraId="604BA111">
            <w:pPr>
              <w:pStyle w:val="7"/>
              <w:adjustRightInd w:val="0"/>
              <w:snapToGrid w:val="0"/>
              <w:spacing w:line="340" w:lineRule="exact"/>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内部布线</w:t>
            </w:r>
          </w:p>
        </w:tc>
        <w:tc>
          <w:tcPr>
            <w:tcW w:w="1214" w:type="pct"/>
            <w:shd w:val="clear" w:color="auto" w:fill="FFFFFF"/>
            <w:vAlign w:val="center"/>
          </w:tcPr>
          <w:p w14:paraId="2BDADF48">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11B5935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3D4A95C2">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4706.1—2024</w:t>
            </w:r>
          </w:p>
          <w:p w14:paraId="798942B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4706.38—2024</w:t>
            </w:r>
          </w:p>
        </w:tc>
        <w:tc>
          <w:tcPr>
            <w:tcW w:w="1368" w:type="pct"/>
            <w:shd w:val="clear" w:color="auto" w:fill="FFFFFF"/>
            <w:vAlign w:val="center"/>
          </w:tcPr>
          <w:p w14:paraId="6C167EB8">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39345EFA">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1D158D1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14:paraId="1FF3595B">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14:paraId="11416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50D2768C">
            <w:pPr>
              <w:pStyle w:val="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127" w:type="pct"/>
            <w:vAlign w:val="center"/>
          </w:tcPr>
          <w:p w14:paraId="6D5AF3BC">
            <w:pPr>
              <w:pStyle w:val="7"/>
              <w:adjustRightInd w:val="0"/>
              <w:snapToGrid w:val="0"/>
              <w:spacing w:line="340" w:lineRule="exact"/>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电源连接和外部软线</w:t>
            </w:r>
          </w:p>
        </w:tc>
        <w:tc>
          <w:tcPr>
            <w:tcW w:w="1214" w:type="pct"/>
            <w:shd w:val="clear" w:color="auto" w:fill="FFFFFF"/>
            <w:vAlign w:val="center"/>
          </w:tcPr>
          <w:p w14:paraId="4068FC1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781CE7BA">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357EF4A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4706.1—2024</w:t>
            </w:r>
          </w:p>
          <w:p w14:paraId="6C5BEBF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4706.38—2024</w:t>
            </w:r>
          </w:p>
        </w:tc>
        <w:tc>
          <w:tcPr>
            <w:tcW w:w="1368" w:type="pct"/>
            <w:shd w:val="clear" w:color="auto" w:fill="FFFFFF"/>
            <w:vAlign w:val="center"/>
          </w:tcPr>
          <w:p w14:paraId="607DBA94">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51F133B8">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4B22D2A1">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14:paraId="6979C2AB">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14:paraId="339BA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2B15D2ED">
            <w:pPr>
              <w:pStyle w:val="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127" w:type="pct"/>
            <w:vAlign w:val="center"/>
          </w:tcPr>
          <w:p w14:paraId="0CFA06B6">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外部导线用接线端子</w:t>
            </w:r>
          </w:p>
          <w:p w14:paraId="16A56191">
            <w:pPr>
              <w:pStyle w:val="7"/>
              <w:adjustRightInd w:val="0"/>
              <w:snapToGrid w:val="0"/>
              <w:spacing w:line="340" w:lineRule="exact"/>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highlight w:val="none"/>
                <w:lang w:val="en-US" w:eastAsia="zh-CN"/>
                <w14:textFill>
                  <w14:solidFill>
                    <w14:schemeClr w14:val="tx1"/>
                  </w14:solidFill>
                </w14:textFill>
              </w:rPr>
              <w:t>/</w:t>
            </w:r>
            <w:r>
              <w:rPr>
                <w:rFonts w:hint="default" w:ascii="Times New Roman" w:hAnsi="Times New Roman" w:eastAsia="宋体" w:cs="Times New Roman"/>
                <w:color w:val="000000" w:themeColor="text1"/>
                <w:sz w:val="21"/>
                <w:szCs w:val="21"/>
                <w:highlight w:val="none"/>
                <w14:textFill>
                  <w14:solidFill>
                    <w14:schemeClr w14:val="tx1"/>
                  </w14:solidFill>
                </w14:textFill>
              </w:rPr>
              <w:t>外部导体用接线端子</w:t>
            </w:r>
          </w:p>
        </w:tc>
        <w:tc>
          <w:tcPr>
            <w:tcW w:w="1214" w:type="pct"/>
            <w:shd w:val="clear" w:color="auto" w:fill="FFFFFF"/>
            <w:vAlign w:val="center"/>
          </w:tcPr>
          <w:p w14:paraId="0B150B2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6C0899E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363276F5">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4706.1—2024</w:t>
            </w:r>
          </w:p>
          <w:p w14:paraId="07F0E81C">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4706.38—2024</w:t>
            </w:r>
          </w:p>
        </w:tc>
        <w:tc>
          <w:tcPr>
            <w:tcW w:w="1368" w:type="pct"/>
            <w:shd w:val="clear" w:color="auto" w:fill="FFFFFF"/>
            <w:vAlign w:val="center"/>
          </w:tcPr>
          <w:p w14:paraId="015281E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6336A68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27E66020">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14:paraId="588545D2">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14:paraId="6DF84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0DB915B5">
            <w:pPr>
              <w:pStyle w:val="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127" w:type="pct"/>
            <w:vAlign w:val="center"/>
          </w:tcPr>
          <w:p w14:paraId="67764A13">
            <w:pPr>
              <w:pStyle w:val="7"/>
              <w:adjustRightInd w:val="0"/>
              <w:snapToGrid w:val="0"/>
              <w:spacing w:line="340" w:lineRule="exact"/>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接地措施</w:t>
            </w:r>
          </w:p>
        </w:tc>
        <w:tc>
          <w:tcPr>
            <w:tcW w:w="1214" w:type="pct"/>
            <w:shd w:val="clear" w:color="auto" w:fill="FFFFFF"/>
            <w:vAlign w:val="center"/>
          </w:tcPr>
          <w:p w14:paraId="1348326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08714E34">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11CFB59C">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4706.1—2024</w:t>
            </w:r>
          </w:p>
          <w:p w14:paraId="0D311E3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4706.38—2024</w:t>
            </w:r>
          </w:p>
        </w:tc>
        <w:tc>
          <w:tcPr>
            <w:tcW w:w="1368" w:type="pct"/>
            <w:shd w:val="clear" w:color="auto" w:fill="FFFFFF"/>
            <w:vAlign w:val="center"/>
          </w:tcPr>
          <w:p w14:paraId="2AD5A47B">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1D50E9B2">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2E44E3F8">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14:paraId="3B366EB7">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14:paraId="55168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43DEB33F">
            <w:pPr>
              <w:pStyle w:val="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127" w:type="pct"/>
            <w:vAlign w:val="center"/>
          </w:tcPr>
          <w:p w14:paraId="0BC9ED97">
            <w:pPr>
              <w:pStyle w:val="7"/>
              <w:adjustRightInd w:val="0"/>
              <w:snapToGrid w:val="0"/>
              <w:spacing w:line="340" w:lineRule="exact"/>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螺钉和连接</w:t>
            </w:r>
          </w:p>
        </w:tc>
        <w:tc>
          <w:tcPr>
            <w:tcW w:w="1214" w:type="pct"/>
            <w:shd w:val="clear" w:color="auto" w:fill="FFFFFF"/>
            <w:vAlign w:val="center"/>
          </w:tcPr>
          <w:p w14:paraId="08F55E7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08671F6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1EBA1C0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4706.1—2024</w:t>
            </w:r>
          </w:p>
          <w:p w14:paraId="3A69CC58">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4706.38—2024</w:t>
            </w:r>
          </w:p>
        </w:tc>
        <w:tc>
          <w:tcPr>
            <w:tcW w:w="1368" w:type="pct"/>
            <w:shd w:val="clear" w:color="auto" w:fill="FFFFFF"/>
            <w:vAlign w:val="center"/>
          </w:tcPr>
          <w:p w14:paraId="116E37D3">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7B46E6F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0120D320">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14:paraId="13F2E2C0">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14:paraId="04781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Pr>
          <w:p w14:paraId="79B145E7">
            <w:pPr>
              <w:tabs>
                <w:tab w:val="left" w:pos="312"/>
              </w:tabs>
              <w:adjustRightInd w:val="0"/>
              <w:snapToGrid w:val="0"/>
              <w:rPr>
                <w:rFonts w:hint="default" w:ascii="Times New Roman" w:hAnsi="Times New Roman" w:cs="Times New Roman"/>
                <w:color w:val="000000" w:themeColor="text1"/>
                <w:kern w:val="0"/>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注：</w:t>
            </w:r>
          </w:p>
          <w:p w14:paraId="67957709">
            <w:pPr>
              <w:tabs>
                <w:tab w:val="left" w:pos="312"/>
              </w:tabs>
              <w:adjustRightInd w:val="0"/>
              <w:snapToGrid w:val="0"/>
              <w:rPr>
                <w:rFonts w:hint="default" w:ascii="Times New Roman" w:hAnsi="Times New Roman" w:cs="Times New Roman"/>
                <w:color w:val="000000" w:themeColor="text1"/>
                <w:kern w:val="0"/>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1.本表的第1</w:t>
            </w:r>
            <w:r>
              <w:rPr>
                <w:rFonts w:hint="eastAsia" w:ascii="Times New Roman" w:hAnsi="Times New Roman" w:cs="Times New Roman"/>
                <w:color w:val="000000" w:themeColor="text1"/>
                <w:highlight w:val="none"/>
                <w:lang w:val="en-US"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1</w:t>
            </w:r>
            <w:r>
              <w:rPr>
                <w:rFonts w:hint="eastAsia" w:ascii="Times New Roman" w:hAnsi="Times New Roman" w:cs="Times New Roman"/>
                <w:color w:val="000000" w:themeColor="text1"/>
                <w:highlight w:val="none"/>
                <w:lang w:val="en-US" w:eastAsia="zh-CN"/>
                <w14:textFill>
                  <w14:solidFill>
                    <w14:schemeClr w14:val="tx1"/>
                  </w14:solidFill>
                </w14:textFill>
              </w:rPr>
              <w:t>4</w:t>
            </w:r>
            <w:r>
              <w:rPr>
                <w:rFonts w:hint="default" w:ascii="Times New Roman" w:hAnsi="Times New Roman" w:cs="Times New Roman"/>
                <w:color w:val="000000" w:themeColor="text1"/>
                <w:highlight w:val="none"/>
                <w14:textFill>
                  <w14:solidFill>
                    <w14:schemeClr w14:val="tx1"/>
                  </w14:solidFill>
                </w14:textFill>
              </w:rPr>
              <w:t>项适用于金属材质；</w:t>
            </w:r>
          </w:p>
          <w:p w14:paraId="477D8D4E">
            <w:pPr>
              <w:tabs>
                <w:tab w:val="left" w:pos="312"/>
              </w:tabs>
              <w:adjustRightInd w:val="0"/>
              <w:snapToGrid w:val="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2.本表的第1</w:t>
            </w:r>
            <w:r>
              <w:rPr>
                <w:rFonts w:hint="eastAsia" w:ascii="Times New Roman" w:hAnsi="Times New Roman" w:cs="Times New Roman"/>
                <w:color w:val="000000" w:themeColor="text1"/>
                <w:highlight w:val="none"/>
                <w:lang w:val="en-US" w:eastAsia="zh-CN"/>
                <w14:textFill>
                  <w14:solidFill>
                    <w14:schemeClr w14:val="tx1"/>
                  </w14:solidFill>
                </w14:textFill>
              </w:rPr>
              <w:t>5</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w:t>
            </w:r>
            <w:r>
              <w:rPr>
                <w:rFonts w:hint="eastAsia" w:ascii="Times New Roman" w:hAnsi="Times New Roman" w:cs="Times New Roman"/>
                <w:color w:val="000000" w:themeColor="text1"/>
                <w:highlight w:val="none"/>
                <w:lang w:val="en-US" w:eastAsia="zh-CN"/>
                <w14:textFill>
                  <w14:solidFill>
                    <w14:schemeClr w14:val="tx1"/>
                  </w14:solidFill>
                </w14:textFill>
              </w:rPr>
              <w:t>9</w:t>
            </w:r>
            <w:r>
              <w:rPr>
                <w:rFonts w:hint="default" w:ascii="Times New Roman" w:hAnsi="Times New Roman" w:cs="Times New Roman"/>
                <w:color w:val="000000" w:themeColor="text1"/>
                <w:highlight w:val="none"/>
                <w14:textFill>
                  <w14:solidFill>
                    <w14:schemeClr w14:val="tx1"/>
                  </w14:solidFill>
                </w14:textFill>
              </w:rPr>
              <w:t>项适用于塑料材质；</w:t>
            </w:r>
          </w:p>
          <w:p w14:paraId="17781BF7">
            <w:pPr>
              <w:tabs>
                <w:tab w:val="left" w:pos="312"/>
              </w:tabs>
              <w:adjustRightInd w:val="0"/>
              <w:snapToGrid w:val="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3.本表的第</w:t>
            </w:r>
            <w:r>
              <w:rPr>
                <w:rFonts w:hint="eastAsia" w:ascii="Times New Roman" w:hAnsi="Times New Roman" w:cs="Times New Roman"/>
                <w:color w:val="000000" w:themeColor="text1"/>
                <w:highlight w:val="none"/>
                <w:lang w:val="en-US" w:eastAsia="zh-CN"/>
                <w14:textFill>
                  <w14:solidFill>
                    <w14:schemeClr w14:val="tx1"/>
                  </w14:solidFill>
                </w14:textFill>
              </w:rPr>
              <w:t>30</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3</w:t>
            </w:r>
            <w:r>
              <w:rPr>
                <w:rFonts w:hint="eastAsia" w:ascii="Times New Roman" w:hAnsi="Times New Roman" w:cs="Times New Roman"/>
                <w:color w:val="000000" w:themeColor="text1"/>
                <w:highlight w:val="none"/>
                <w:lang w:val="en-US" w:eastAsia="zh-CN"/>
                <w14:textFill>
                  <w14:solidFill>
                    <w14:schemeClr w14:val="tx1"/>
                  </w14:solidFill>
                </w14:textFill>
              </w:rPr>
              <w:t>4</w:t>
            </w:r>
            <w:r>
              <w:rPr>
                <w:rFonts w:hint="default" w:ascii="Times New Roman" w:hAnsi="Times New Roman" w:cs="Times New Roman"/>
                <w:color w:val="000000" w:themeColor="text1"/>
                <w:highlight w:val="none"/>
                <w14:textFill>
                  <w14:solidFill>
                    <w14:schemeClr w14:val="tx1"/>
                  </w14:solidFill>
                </w14:textFill>
              </w:rPr>
              <w:t>项适用于橡胶材质；</w:t>
            </w:r>
          </w:p>
          <w:p w14:paraId="3075B70C">
            <w:pPr>
              <w:tabs>
                <w:tab w:val="left" w:pos="312"/>
              </w:tabs>
              <w:adjustRightInd w:val="0"/>
              <w:snapToGrid w:val="0"/>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4.</w:t>
            </w:r>
            <w:r>
              <w:rPr>
                <w:rFonts w:hint="default" w:ascii="Times New Roman" w:hAnsi="Times New Roman" w:cs="Times New Roman"/>
                <w:color w:val="000000" w:themeColor="text1"/>
                <w:highlight w:val="none"/>
                <w14:textFill>
                  <w14:solidFill>
                    <w14:schemeClr w14:val="tx1"/>
                  </w14:solidFill>
                </w14:textFill>
              </w:rPr>
              <w:t>本表的第</w:t>
            </w:r>
            <w:r>
              <w:rPr>
                <w:rFonts w:hint="default" w:ascii="Times New Roman" w:hAnsi="Times New Roman" w:cs="Times New Roman"/>
                <w:color w:val="000000" w:themeColor="text1"/>
                <w:highlight w:val="none"/>
                <w:lang w:val="en-US" w:eastAsia="zh-CN"/>
                <w14:textFill>
                  <w14:solidFill>
                    <w14:schemeClr w14:val="tx1"/>
                  </w14:solidFill>
                </w14:textFill>
              </w:rPr>
              <w:t>3</w:t>
            </w:r>
            <w:r>
              <w:rPr>
                <w:rFonts w:hint="eastAsia" w:ascii="Times New Roman" w:hAnsi="Times New Roman" w:cs="Times New Roman"/>
                <w:color w:val="000000" w:themeColor="text1"/>
                <w:highlight w:val="none"/>
                <w:lang w:val="en-US" w:eastAsia="zh-CN"/>
                <w14:textFill>
                  <w14:solidFill>
                    <w14:schemeClr w14:val="tx1"/>
                  </w14:solidFill>
                </w14:textFill>
              </w:rPr>
              <w:t>5</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lang w:val="en-US" w:eastAsia="zh-CN"/>
                <w14:textFill>
                  <w14:solidFill>
                    <w14:schemeClr w14:val="tx1"/>
                  </w14:solidFill>
                </w14:textFill>
              </w:rPr>
              <w:t>3</w:t>
            </w:r>
            <w:r>
              <w:rPr>
                <w:rFonts w:hint="eastAsia" w:ascii="Times New Roman" w:hAnsi="Times New Roman" w:cs="Times New Roman"/>
                <w:color w:val="000000" w:themeColor="text1"/>
                <w:highlight w:val="none"/>
                <w:lang w:val="en-US" w:eastAsia="zh-CN"/>
                <w14:textFill>
                  <w14:solidFill>
                    <w14:schemeClr w14:val="tx1"/>
                  </w14:solidFill>
                </w14:textFill>
              </w:rPr>
              <w:t>8</w:t>
            </w:r>
            <w:r>
              <w:rPr>
                <w:rFonts w:hint="default" w:ascii="Times New Roman" w:hAnsi="Times New Roman" w:cs="Times New Roman"/>
                <w:color w:val="000000" w:themeColor="text1"/>
                <w:highlight w:val="none"/>
                <w14:textFill>
                  <w14:solidFill>
                    <w14:schemeClr w14:val="tx1"/>
                  </w14:solidFill>
                </w14:textFill>
              </w:rPr>
              <w:t>项适用于</w:t>
            </w:r>
            <w:r>
              <w:rPr>
                <w:rFonts w:hint="default" w:ascii="Times New Roman" w:hAnsi="Times New Roman" w:cs="Times New Roman"/>
                <w:color w:val="000000" w:themeColor="text1"/>
                <w:highlight w:val="none"/>
                <w:lang w:val="en-US" w:eastAsia="zh-CN"/>
                <w14:textFill>
                  <w14:solidFill>
                    <w14:schemeClr w14:val="tx1"/>
                  </w14:solidFill>
                </w14:textFill>
              </w:rPr>
              <w:t>硅橡胶材质；</w:t>
            </w:r>
          </w:p>
          <w:p w14:paraId="6481ABDF">
            <w:pPr>
              <w:tabs>
                <w:tab w:val="left" w:pos="312"/>
              </w:tabs>
              <w:adjustRightInd w:val="0"/>
              <w:snapToGrid w:val="0"/>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5.本表的第1</w:t>
            </w:r>
            <w:r>
              <w:rPr>
                <w:rFonts w:hint="eastAsia" w:ascii="Times New Roman" w:hAnsi="Times New Roman" w:cs="Times New Roman"/>
                <w:color w:val="000000" w:themeColor="text1"/>
                <w:highlight w:val="none"/>
                <w:lang w:val="en-US" w:eastAsia="zh-CN"/>
                <w14:textFill>
                  <w14:solidFill>
                    <w14:schemeClr w14:val="tx1"/>
                  </w14:solidFill>
                </w14:textFill>
              </w:rPr>
              <w:t>9</w:t>
            </w:r>
            <w:r>
              <w:rPr>
                <w:rFonts w:hint="default" w:ascii="Times New Roman" w:hAnsi="Times New Roman" w:cs="Times New Roman"/>
                <w:color w:val="000000" w:themeColor="text1"/>
                <w:highlight w:val="none"/>
                <w:lang w:val="en-US" w:eastAsia="zh-CN"/>
                <w14:textFill>
                  <w14:solidFill>
                    <w14:schemeClr w14:val="tx1"/>
                  </w14:solidFill>
                </w14:textFill>
              </w:rPr>
              <w:t>项仅适用于含有芳香族异氰酸酯和偶氮类着色剂等可能产生芳香族伯胺类物质的塑料材质；</w:t>
            </w:r>
          </w:p>
          <w:p w14:paraId="28ECCEA1">
            <w:pPr>
              <w:shd w:val="clear" w:color="auto" w:fill="FFFFFF"/>
              <w:adjustRightInd w:val="0"/>
              <w:snapToGrid w:val="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6</w:t>
            </w:r>
            <w:r>
              <w:rPr>
                <w:rFonts w:hint="default" w:ascii="Times New Roman" w:hAnsi="Times New Roman" w:cs="Times New Roman"/>
                <w:color w:val="000000" w:themeColor="text1"/>
                <w:highlight w:val="none"/>
                <w14:textFill>
                  <w14:solidFill>
                    <w14:schemeClr w14:val="tx1"/>
                  </w14:solidFill>
                </w14:textFill>
              </w:rPr>
              <w:t>.本表的第</w:t>
            </w:r>
            <w:r>
              <w:rPr>
                <w:rFonts w:hint="default" w:ascii="Times New Roman" w:hAnsi="Times New Roman" w:cs="Times New Roman"/>
                <w:color w:val="000000" w:themeColor="text1"/>
                <w:highlight w:val="none"/>
                <w:lang w:eastAsia="zh-CN"/>
                <w14:textFill>
                  <w14:solidFill>
                    <w14:schemeClr w14:val="tx1"/>
                  </w14:solidFill>
                </w14:textFill>
              </w:rPr>
              <w:t>3</w:t>
            </w:r>
            <w:r>
              <w:rPr>
                <w:rFonts w:hint="eastAsia" w:ascii="Times New Roman" w:hAnsi="Times New Roman" w:cs="Times New Roman"/>
                <w:color w:val="000000" w:themeColor="text1"/>
                <w:highlight w:val="none"/>
                <w:lang w:val="en-US" w:eastAsia="zh-CN"/>
                <w14:textFill>
                  <w14:solidFill>
                    <w14:schemeClr w14:val="tx1"/>
                  </w14:solidFill>
                </w14:textFill>
              </w:rPr>
              <w:t>3</w:t>
            </w:r>
            <w:r>
              <w:rPr>
                <w:rFonts w:hint="default" w:ascii="Times New Roman" w:hAnsi="Times New Roman" w:cs="Times New Roman"/>
                <w:color w:val="000000" w:themeColor="text1"/>
                <w:highlight w:val="none"/>
                <w14:textFill>
                  <w14:solidFill>
                    <w14:schemeClr w14:val="tx1"/>
                  </w14:solidFill>
                </w14:textFill>
              </w:rPr>
              <w:t>项仅适用于含有胺类防老剂、次磺酰胺类硫化促进剂、偶氮类着色剂等可能产生芳香族伯胺的橡胶</w:t>
            </w:r>
            <w:r>
              <w:rPr>
                <w:rFonts w:hint="default" w:ascii="Times New Roman" w:hAnsi="Times New Roman" w:cs="Times New Roman"/>
                <w:color w:val="000000" w:themeColor="text1"/>
                <w:highlight w:val="none"/>
                <w:lang w:val="en-US" w:eastAsia="zh-CN"/>
                <w14:textFill>
                  <w14:solidFill>
                    <w14:schemeClr w14:val="tx1"/>
                  </w14:solidFill>
                </w14:textFill>
              </w:rPr>
              <w:t>材质</w:t>
            </w:r>
            <w:r>
              <w:rPr>
                <w:rFonts w:hint="default" w:ascii="Times New Roman" w:hAnsi="Times New Roman" w:cs="Times New Roman"/>
                <w:color w:val="000000" w:themeColor="text1"/>
                <w:highlight w:val="none"/>
                <w14:textFill>
                  <w14:solidFill>
                    <w14:schemeClr w14:val="tx1"/>
                  </w14:solidFill>
                </w14:textFill>
              </w:rPr>
              <w:t>；</w:t>
            </w:r>
          </w:p>
          <w:p w14:paraId="4E566456">
            <w:pPr>
              <w:tabs>
                <w:tab w:val="left" w:pos="312"/>
              </w:tabs>
              <w:adjustRightInd w:val="0"/>
              <w:snapToGrid w:val="0"/>
              <w:rPr>
                <w:rFonts w:hint="default" w:ascii="Times New Roman" w:hAnsi="Times New Roman" w:cs="Times New Roman"/>
                <w:color w:val="000000" w:themeColor="text1"/>
                <w:kern w:val="0"/>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7</w:t>
            </w:r>
            <w:r>
              <w:rPr>
                <w:rFonts w:hint="default" w:ascii="Times New Roman" w:hAnsi="Times New Roman" w:cs="Times New Roman"/>
                <w:color w:val="000000" w:themeColor="text1"/>
                <w:highlight w:val="none"/>
                <w14:textFill>
                  <w14:solidFill>
                    <w14:schemeClr w14:val="tx1"/>
                  </w14:solidFill>
                </w14:textFill>
              </w:rPr>
              <w:t>.本表的第</w:t>
            </w:r>
            <w:r>
              <w:rPr>
                <w:rFonts w:hint="default" w:ascii="Times New Roman" w:hAnsi="Times New Roman" w:cs="Times New Roman"/>
                <w:color w:val="000000" w:themeColor="text1"/>
                <w:highlight w:val="none"/>
                <w:lang w:eastAsia="zh-CN"/>
                <w14:textFill>
                  <w14:solidFill>
                    <w14:schemeClr w14:val="tx1"/>
                  </w14:solidFill>
                </w14:textFill>
              </w:rPr>
              <w:t>3</w:t>
            </w:r>
            <w:r>
              <w:rPr>
                <w:rFonts w:hint="eastAsia" w:ascii="Times New Roman" w:hAnsi="Times New Roman" w:cs="Times New Roman"/>
                <w:color w:val="000000" w:themeColor="text1"/>
                <w:highlight w:val="none"/>
                <w:lang w:val="en-US" w:eastAsia="zh-CN"/>
                <w14:textFill>
                  <w14:solidFill>
                    <w14:schemeClr w14:val="tx1"/>
                  </w14:solidFill>
                </w14:textFill>
              </w:rPr>
              <w:t>4</w:t>
            </w:r>
            <w:r>
              <w:rPr>
                <w:rFonts w:hint="default" w:ascii="Times New Roman" w:hAnsi="Times New Roman" w:cs="Times New Roman"/>
                <w:color w:val="000000" w:themeColor="text1"/>
                <w:highlight w:val="none"/>
                <w14:textFill>
                  <w14:solidFill>
                    <w14:schemeClr w14:val="tx1"/>
                  </w14:solidFill>
                </w14:textFill>
              </w:rPr>
              <w:t>项仅适用于含有硫化促进剂等可能产生N</w:t>
            </w:r>
            <w:r>
              <w:rPr>
                <w:rFonts w:hint="default" w:ascii="Times New Roman" w:hAnsi="Times New Roman" w:cs="Times New Roman"/>
                <w:color w:val="000000" w:themeColor="text1"/>
                <w:highlight w:val="none"/>
                <w:lang w:val="en-US"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亚硝胺和N</w:t>
            </w:r>
            <w:r>
              <w:rPr>
                <w:rFonts w:hint="default" w:ascii="Times New Roman" w:hAnsi="Times New Roman" w:cs="Times New Roman"/>
                <w:color w:val="000000" w:themeColor="text1"/>
                <w:highlight w:val="none"/>
                <w:lang w:val="en-US"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亚硝胺可生成物的橡胶</w:t>
            </w:r>
            <w:r>
              <w:rPr>
                <w:rFonts w:hint="default" w:ascii="Times New Roman" w:hAnsi="Times New Roman" w:cs="Times New Roman"/>
                <w:color w:val="000000" w:themeColor="text1"/>
                <w:highlight w:val="none"/>
                <w:lang w:val="en-US" w:eastAsia="zh-CN"/>
                <w14:textFill>
                  <w14:solidFill>
                    <w14:schemeClr w14:val="tx1"/>
                  </w14:solidFill>
                </w14:textFill>
              </w:rPr>
              <w:t>材质</w:t>
            </w:r>
            <w:r>
              <w:rPr>
                <w:rFonts w:hint="default" w:ascii="Times New Roman" w:hAnsi="Times New Roman" w:cs="Times New Roman"/>
                <w:color w:val="000000" w:themeColor="text1"/>
                <w:highlight w:val="none"/>
                <w14:textFill>
                  <w14:solidFill>
                    <w14:schemeClr w14:val="tx1"/>
                  </w14:solidFill>
                </w14:textFill>
              </w:rPr>
              <w:t>。</w:t>
            </w:r>
          </w:p>
          <w:p w14:paraId="3E9E6CBA">
            <w:pP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8</w:t>
            </w:r>
            <w:r>
              <w:rPr>
                <w:rFonts w:hint="default" w:ascii="Times New Roman" w:hAnsi="Times New Roman" w:cs="Times New Roman"/>
                <w:color w:val="000000" w:themeColor="text1"/>
                <w:highlight w:val="none"/>
                <w14:textFill>
                  <w14:solidFill>
                    <w14:schemeClr w14:val="tx1"/>
                  </w14:solidFill>
                </w14:textFill>
              </w:rPr>
              <w:t>.本表的第</w:t>
            </w:r>
            <w:r>
              <w:rPr>
                <w:rFonts w:hint="default" w:ascii="Times New Roman" w:hAnsi="Times New Roman" w:cs="Times New Roman"/>
                <w:color w:val="000000" w:themeColor="text1"/>
                <w:highlight w:val="none"/>
                <w:lang w:val="en-US" w:eastAsia="zh-CN"/>
                <w14:textFill>
                  <w14:solidFill>
                    <w14:schemeClr w14:val="tx1"/>
                  </w14:solidFill>
                </w14:textFill>
              </w:rPr>
              <w:t>4</w:t>
            </w:r>
            <w:r>
              <w:rPr>
                <w:rFonts w:hint="eastAsia" w:ascii="Times New Roman" w:hAnsi="Times New Roman" w:cs="Times New Roman"/>
                <w:color w:val="000000" w:themeColor="text1"/>
                <w:highlight w:val="none"/>
                <w:lang w:val="en-US" w:eastAsia="zh-CN"/>
                <w14:textFill>
                  <w14:solidFill>
                    <w14:schemeClr w14:val="tx1"/>
                  </w14:solidFill>
                </w14:textFill>
              </w:rPr>
              <w:t>3</w:t>
            </w:r>
            <w:r>
              <w:rPr>
                <w:rFonts w:hint="default" w:ascii="Times New Roman" w:hAnsi="Times New Roman" w:cs="Times New Roman"/>
                <w:color w:val="000000" w:themeColor="text1"/>
                <w:highlight w:val="none"/>
                <w14:textFill>
                  <w14:solidFill>
                    <w14:schemeClr w14:val="tx1"/>
                  </w14:solidFill>
                </w14:textFill>
              </w:rPr>
              <w:t>项不测GB 4706.1第19.11.4条试验；</w:t>
            </w:r>
          </w:p>
          <w:p w14:paraId="4C8647D6">
            <w:pPr>
              <w:adjustRightInd w:val="0"/>
              <w:snapToGrid w:val="0"/>
              <w:spacing w:line="340" w:lineRule="exact"/>
              <w:jc w:val="left"/>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9</w:t>
            </w:r>
            <w:r>
              <w:rPr>
                <w:rFonts w:hint="default" w:ascii="Times New Roman" w:hAnsi="Times New Roman" w:cs="Times New Roman"/>
                <w:color w:val="000000" w:themeColor="text1"/>
                <w:highlight w:val="none"/>
                <w14:textFill>
                  <w14:solidFill>
                    <w14:schemeClr w14:val="tx1"/>
                  </w14:solidFill>
                </w14:textFill>
              </w:rPr>
              <w:t>.本表的第</w:t>
            </w:r>
            <w:r>
              <w:rPr>
                <w:rFonts w:hint="default" w:ascii="Times New Roman" w:hAnsi="Times New Roman" w:cs="Times New Roman"/>
                <w:color w:val="000000" w:themeColor="text1"/>
                <w:highlight w:val="none"/>
                <w:lang w:val="en-US" w:eastAsia="zh-CN"/>
                <w14:textFill>
                  <w14:solidFill>
                    <w14:schemeClr w14:val="tx1"/>
                  </w14:solidFill>
                </w14:textFill>
              </w:rPr>
              <w:t>4</w:t>
            </w:r>
            <w:r>
              <w:rPr>
                <w:rFonts w:hint="eastAsia" w:ascii="Times New Roman" w:hAnsi="Times New Roman" w:cs="Times New Roman"/>
                <w:color w:val="000000" w:themeColor="text1"/>
                <w:highlight w:val="none"/>
                <w:lang w:val="en-US" w:eastAsia="zh-CN"/>
                <w14:textFill>
                  <w14:solidFill>
                    <w14:schemeClr w14:val="tx1"/>
                  </w14:solidFill>
                </w14:textFill>
              </w:rPr>
              <w:t>6</w:t>
            </w:r>
            <w:r>
              <w:rPr>
                <w:rFonts w:hint="default" w:ascii="Times New Roman" w:hAnsi="Times New Roman" w:cs="Times New Roman"/>
                <w:color w:val="000000" w:themeColor="text1"/>
                <w:highlight w:val="none"/>
                <w14:textFill>
                  <w14:solidFill>
                    <w14:schemeClr w14:val="tx1"/>
                  </w14:solidFill>
                </w14:textFill>
              </w:rPr>
              <w:t>项不测GB 4706.1第22.46条试验</w:t>
            </w:r>
            <w:r>
              <w:rPr>
                <w:rFonts w:hint="default" w:ascii="Times New Roman" w:hAnsi="Times New Roman" w:cs="Times New Roman"/>
                <w:color w:val="000000" w:themeColor="text1"/>
                <w:highlight w:val="none"/>
                <w:lang w:val="en-US" w:eastAsia="zh-CN"/>
                <w14:textFill>
                  <w14:solidFill>
                    <w14:schemeClr w14:val="tx1"/>
                  </w14:solidFill>
                </w14:textFill>
              </w:rPr>
              <w:t>。</w:t>
            </w:r>
          </w:p>
        </w:tc>
      </w:tr>
    </w:tbl>
    <w:p w14:paraId="42685ED8">
      <w:pPr>
        <w:snapToGrid w:val="0"/>
        <w:spacing w:line="240" w:lineRule="auto"/>
        <w:rPr>
          <w:rFonts w:hint="eastAsia"/>
          <w:szCs w:val="21"/>
        </w:rPr>
      </w:pPr>
    </w:p>
    <w:p w14:paraId="00F60810">
      <w:pPr>
        <w:snapToGrid w:val="0"/>
        <w:spacing w:line="440" w:lineRule="exact"/>
        <w:rPr>
          <w:rFonts w:hint="default" w:ascii="Times New Roman" w:hAnsi="Times New Roman" w:cs="Times New Roman"/>
          <w:szCs w:val="21"/>
        </w:rPr>
      </w:pPr>
      <w:bookmarkStart w:id="1" w:name="_GoBack"/>
      <w:r>
        <w:rPr>
          <w:rFonts w:hint="default" w:ascii="Times New Roman" w:hAnsi="Times New Roman" w:cs="Times New Roman"/>
          <w:szCs w:val="21"/>
        </w:rPr>
        <w:t>2.3其它项目（标签标识）</w:t>
      </w:r>
    </w:p>
    <w:bookmarkEnd w:id="1"/>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1106"/>
        <w:gridCol w:w="3498"/>
        <w:gridCol w:w="1907"/>
        <w:gridCol w:w="1850"/>
      </w:tblGrid>
      <w:tr w14:paraId="41E5D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blHeader/>
          <w:jc w:val="center"/>
        </w:trPr>
        <w:tc>
          <w:tcPr>
            <w:tcW w:w="700" w:type="dxa"/>
            <w:noWrap w:val="0"/>
            <w:vAlign w:val="center"/>
          </w:tcPr>
          <w:p w14:paraId="26AB3CD8">
            <w:pPr>
              <w:widowControl/>
              <w:snapToGrid w:val="0"/>
              <w:jc w:val="center"/>
              <w:rPr>
                <w:szCs w:val="21"/>
              </w:rPr>
            </w:pPr>
            <w:r>
              <w:rPr>
                <w:szCs w:val="21"/>
              </w:rPr>
              <w:t>序号</w:t>
            </w:r>
          </w:p>
        </w:tc>
        <w:tc>
          <w:tcPr>
            <w:tcW w:w="4604" w:type="dxa"/>
            <w:gridSpan w:val="2"/>
            <w:noWrap w:val="0"/>
            <w:vAlign w:val="center"/>
          </w:tcPr>
          <w:p w14:paraId="2FBD0E92">
            <w:pPr>
              <w:widowControl/>
              <w:snapToGrid w:val="0"/>
              <w:jc w:val="center"/>
              <w:rPr>
                <w:szCs w:val="21"/>
              </w:rPr>
            </w:pPr>
            <w:r>
              <w:rPr>
                <w:szCs w:val="21"/>
              </w:rPr>
              <w:t>检验项目</w:t>
            </w:r>
          </w:p>
        </w:tc>
        <w:tc>
          <w:tcPr>
            <w:tcW w:w="1907" w:type="dxa"/>
            <w:noWrap w:val="0"/>
            <w:vAlign w:val="center"/>
          </w:tcPr>
          <w:p w14:paraId="64D5060D">
            <w:pPr>
              <w:widowControl/>
              <w:snapToGrid w:val="0"/>
              <w:contextualSpacing/>
              <w:jc w:val="center"/>
              <w:rPr>
                <w:szCs w:val="21"/>
              </w:rPr>
            </w:pPr>
            <w:r>
              <w:t>检验依据</w:t>
            </w:r>
          </w:p>
        </w:tc>
        <w:tc>
          <w:tcPr>
            <w:tcW w:w="1850" w:type="dxa"/>
            <w:noWrap w:val="0"/>
            <w:vAlign w:val="center"/>
          </w:tcPr>
          <w:p w14:paraId="13BB59EB">
            <w:pPr>
              <w:widowControl/>
              <w:snapToGrid w:val="0"/>
              <w:contextualSpacing/>
              <w:jc w:val="center"/>
              <w:rPr>
                <w:szCs w:val="21"/>
              </w:rPr>
            </w:pPr>
            <w:r>
              <w:rPr>
                <w:szCs w:val="21"/>
              </w:rPr>
              <w:t>检验方法</w:t>
            </w:r>
          </w:p>
        </w:tc>
      </w:tr>
      <w:tr w14:paraId="002C7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vMerge w:val="restart"/>
            <w:noWrap w:val="0"/>
            <w:vAlign w:val="center"/>
          </w:tcPr>
          <w:p w14:paraId="5B131B42">
            <w:pPr>
              <w:snapToGrid w:val="0"/>
              <w:jc w:val="center"/>
              <w:rPr>
                <w:szCs w:val="21"/>
              </w:rPr>
            </w:pPr>
            <w:r>
              <w:rPr>
                <w:szCs w:val="21"/>
              </w:rPr>
              <w:t>1</w:t>
            </w:r>
          </w:p>
        </w:tc>
        <w:tc>
          <w:tcPr>
            <w:tcW w:w="1106" w:type="dxa"/>
            <w:vMerge w:val="restart"/>
            <w:noWrap w:val="0"/>
            <w:vAlign w:val="center"/>
          </w:tcPr>
          <w:p w14:paraId="3637BA06">
            <w:pPr>
              <w:widowControl/>
              <w:snapToGrid w:val="0"/>
              <w:jc w:val="center"/>
              <w:rPr>
                <w:szCs w:val="21"/>
              </w:rPr>
            </w:pPr>
            <w:r>
              <w:rPr>
                <w:szCs w:val="21"/>
              </w:rPr>
              <w:t>标识内容</w:t>
            </w:r>
          </w:p>
        </w:tc>
        <w:tc>
          <w:tcPr>
            <w:tcW w:w="3498" w:type="dxa"/>
            <w:noWrap w:val="0"/>
            <w:vAlign w:val="center"/>
          </w:tcPr>
          <w:p w14:paraId="1ECFCC6B">
            <w:pPr>
              <w:widowControl/>
              <w:snapToGrid w:val="0"/>
              <w:jc w:val="center"/>
              <w:rPr>
                <w:szCs w:val="21"/>
              </w:rPr>
            </w:pPr>
            <w:r>
              <w:rPr>
                <w:szCs w:val="21"/>
              </w:rPr>
              <w:t>产品名称</w:t>
            </w:r>
          </w:p>
        </w:tc>
        <w:tc>
          <w:tcPr>
            <w:tcW w:w="1907" w:type="dxa"/>
            <w:noWrap w:val="0"/>
            <w:vAlign w:val="center"/>
          </w:tcPr>
          <w:p w14:paraId="6A056DB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4806.1—2016</w:t>
            </w:r>
          </w:p>
        </w:tc>
        <w:tc>
          <w:tcPr>
            <w:tcW w:w="1850" w:type="dxa"/>
            <w:noWrap w:val="0"/>
            <w:vAlign w:val="center"/>
          </w:tcPr>
          <w:p w14:paraId="572DF25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4806.1—2016</w:t>
            </w:r>
          </w:p>
        </w:tc>
      </w:tr>
      <w:tr w14:paraId="0D4E0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700" w:type="dxa"/>
            <w:vMerge w:val="continue"/>
            <w:noWrap w:val="0"/>
            <w:vAlign w:val="center"/>
          </w:tcPr>
          <w:p w14:paraId="315D61A0">
            <w:pPr>
              <w:snapToGrid w:val="0"/>
              <w:jc w:val="center"/>
              <w:rPr>
                <w:szCs w:val="21"/>
              </w:rPr>
            </w:pPr>
          </w:p>
        </w:tc>
        <w:tc>
          <w:tcPr>
            <w:tcW w:w="1106" w:type="dxa"/>
            <w:vMerge w:val="continue"/>
            <w:noWrap w:val="0"/>
            <w:vAlign w:val="center"/>
          </w:tcPr>
          <w:p w14:paraId="6AD36654">
            <w:pPr>
              <w:widowControl/>
              <w:snapToGrid w:val="0"/>
              <w:jc w:val="center"/>
              <w:rPr>
                <w:szCs w:val="21"/>
              </w:rPr>
            </w:pPr>
          </w:p>
        </w:tc>
        <w:tc>
          <w:tcPr>
            <w:tcW w:w="3498" w:type="dxa"/>
            <w:noWrap w:val="0"/>
            <w:vAlign w:val="center"/>
          </w:tcPr>
          <w:p w14:paraId="332850C7">
            <w:pPr>
              <w:widowControl/>
              <w:snapToGrid w:val="0"/>
              <w:jc w:val="center"/>
              <w:rPr>
                <w:szCs w:val="21"/>
              </w:rPr>
            </w:pPr>
            <w:r>
              <w:rPr>
                <w:szCs w:val="21"/>
              </w:rPr>
              <w:t>材质</w:t>
            </w:r>
          </w:p>
        </w:tc>
        <w:tc>
          <w:tcPr>
            <w:tcW w:w="1907" w:type="dxa"/>
            <w:noWrap w:val="0"/>
            <w:vAlign w:val="center"/>
          </w:tcPr>
          <w:p w14:paraId="2C3E46E0">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4806.1—2016</w:t>
            </w:r>
          </w:p>
          <w:p w14:paraId="6C7D0E73">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850" w:type="dxa"/>
            <w:noWrap w:val="0"/>
            <w:vAlign w:val="center"/>
          </w:tcPr>
          <w:p w14:paraId="6D2D7CC8">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4806.1—2016</w:t>
            </w:r>
          </w:p>
          <w:p w14:paraId="3B19617C">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r>
      <w:tr w14:paraId="01F2E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vMerge w:val="continue"/>
            <w:noWrap w:val="0"/>
            <w:vAlign w:val="center"/>
          </w:tcPr>
          <w:p w14:paraId="24F85435">
            <w:pPr>
              <w:snapToGrid w:val="0"/>
              <w:jc w:val="center"/>
              <w:rPr>
                <w:szCs w:val="21"/>
              </w:rPr>
            </w:pPr>
          </w:p>
        </w:tc>
        <w:tc>
          <w:tcPr>
            <w:tcW w:w="1106" w:type="dxa"/>
            <w:vMerge w:val="continue"/>
            <w:noWrap w:val="0"/>
            <w:vAlign w:val="center"/>
          </w:tcPr>
          <w:p w14:paraId="6E8E675C">
            <w:pPr>
              <w:widowControl/>
              <w:snapToGrid w:val="0"/>
              <w:jc w:val="center"/>
              <w:rPr>
                <w:szCs w:val="21"/>
              </w:rPr>
            </w:pPr>
          </w:p>
        </w:tc>
        <w:tc>
          <w:tcPr>
            <w:tcW w:w="3498" w:type="dxa"/>
            <w:noWrap w:val="0"/>
            <w:vAlign w:val="center"/>
          </w:tcPr>
          <w:p w14:paraId="60393CB2">
            <w:pPr>
              <w:widowControl/>
              <w:snapToGrid w:val="0"/>
              <w:jc w:val="center"/>
              <w:rPr>
                <w:szCs w:val="21"/>
              </w:rPr>
            </w:pPr>
            <w:r>
              <w:rPr>
                <w:szCs w:val="21"/>
              </w:rPr>
              <w:t>执行标准</w:t>
            </w:r>
          </w:p>
        </w:tc>
        <w:tc>
          <w:tcPr>
            <w:tcW w:w="1907" w:type="dxa"/>
            <w:noWrap w:val="0"/>
            <w:vAlign w:val="center"/>
          </w:tcPr>
          <w:p w14:paraId="1A104A1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4806.1—2016</w:t>
            </w:r>
          </w:p>
        </w:tc>
        <w:tc>
          <w:tcPr>
            <w:tcW w:w="1850" w:type="dxa"/>
            <w:noWrap w:val="0"/>
            <w:vAlign w:val="center"/>
          </w:tcPr>
          <w:p w14:paraId="10FC3C1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4806.1—2016</w:t>
            </w:r>
          </w:p>
        </w:tc>
      </w:tr>
      <w:tr w14:paraId="4C8FA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vMerge w:val="continue"/>
            <w:noWrap w:val="0"/>
            <w:vAlign w:val="center"/>
          </w:tcPr>
          <w:p w14:paraId="1E3D47C6">
            <w:pPr>
              <w:snapToGrid w:val="0"/>
              <w:jc w:val="center"/>
              <w:rPr>
                <w:szCs w:val="21"/>
              </w:rPr>
            </w:pPr>
          </w:p>
        </w:tc>
        <w:tc>
          <w:tcPr>
            <w:tcW w:w="1106" w:type="dxa"/>
            <w:vMerge w:val="continue"/>
            <w:noWrap w:val="0"/>
            <w:vAlign w:val="center"/>
          </w:tcPr>
          <w:p w14:paraId="2AF094F4">
            <w:pPr>
              <w:widowControl/>
              <w:snapToGrid w:val="0"/>
              <w:jc w:val="center"/>
              <w:rPr>
                <w:szCs w:val="21"/>
              </w:rPr>
            </w:pPr>
          </w:p>
        </w:tc>
        <w:tc>
          <w:tcPr>
            <w:tcW w:w="3498" w:type="dxa"/>
            <w:noWrap w:val="0"/>
            <w:vAlign w:val="center"/>
          </w:tcPr>
          <w:p w14:paraId="209CEEC4">
            <w:pPr>
              <w:widowControl/>
              <w:snapToGrid w:val="0"/>
              <w:jc w:val="center"/>
              <w:rPr>
                <w:szCs w:val="21"/>
              </w:rPr>
            </w:pPr>
            <w:r>
              <w:rPr>
                <w:szCs w:val="21"/>
              </w:rPr>
              <w:t>生产者和（或）经销者的名称、地址和联系方式</w:t>
            </w:r>
          </w:p>
        </w:tc>
        <w:tc>
          <w:tcPr>
            <w:tcW w:w="1907" w:type="dxa"/>
            <w:noWrap w:val="0"/>
            <w:vAlign w:val="center"/>
          </w:tcPr>
          <w:p w14:paraId="2F967BAF">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4806.1—2016</w:t>
            </w:r>
          </w:p>
        </w:tc>
        <w:tc>
          <w:tcPr>
            <w:tcW w:w="1850" w:type="dxa"/>
            <w:noWrap w:val="0"/>
            <w:vAlign w:val="center"/>
          </w:tcPr>
          <w:p w14:paraId="38073D3B">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4806.1—2016</w:t>
            </w:r>
          </w:p>
        </w:tc>
      </w:tr>
    </w:tbl>
    <w:p w14:paraId="05C92EF2">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079ADC8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61F35A1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黑体" w:cs="黑体"/>
          <w:sz w:val="22"/>
          <w:szCs w:val="28"/>
          <w:lang w:val="en-US" w:eastAsia="zh-CN"/>
        </w:rPr>
      </w:pPr>
    </w:p>
    <w:p w14:paraId="1CC12896">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14:paraId="4508790C">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14:paraId="1476E0DB">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cs="Times New Roman"/>
          <w:color w:val="000000" w:themeColor="text1"/>
          <w:kern w:val="0"/>
          <w:highlight w:val="none"/>
          <w14:textFill>
            <w14:solidFill>
              <w14:schemeClr w14:val="tx1"/>
            </w14:solidFill>
          </w14:textFill>
        </w:rPr>
      </w:pPr>
      <w:r>
        <w:rPr>
          <w:rFonts w:hint="default" w:ascii="Times New Roman" w:hAnsi="Times New Roman" w:cs="Times New Roman"/>
          <w:color w:val="000000" w:themeColor="text1"/>
          <w:kern w:val="0"/>
          <w:highlight w:val="none"/>
          <w14:textFill>
            <w14:solidFill>
              <w14:schemeClr w14:val="tx1"/>
            </w14:solidFill>
          </w14:textFill>
        </w:rPr>
        <w:t>GB 4706.1—2005 家用和类似用途电器的安全</w:t>
      </w:r>
      <w:r>
        <w:rPr>
          <w:rFonts w:hint="default" w:ascii="Times New Roman" w:hAnsi="Times New Roman" w:cs="Times New Roman"/>
          <w:color w:val="000000" w:themeColor="text1"/>
          <w:kern w:val="0"/>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kern w:val="0"/>
          <w:highlight w:val="none"/>
          <w14:textFill>
            <w14:solidFill>
              <w14:schemeClr w14:val="tx1"/>
            </w14:solidFill>
          </w14:textFill>
        </w:rPr>
        <w:t>第1部分：通用要求</w:t>
      </w:r>
    </w:p>
    <w:p w14:paraId="59E8FBFF">
      <w:pPr>
        <w:keepNext w:val="0"/>
        <w:keepLines w:val="0"/>
        <w:pageBreakBefore w:val="0"/>
        <w:widowControl w:val="0"/>
        <w:shd w:val="clear" w:color="auto" w:fill="FFFFFF"/>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 xml:space="preserve">GB/T 4706.1—2024 家用和类似用途电器的安全 </w:t>
      </w:r>
      <w:r>
        <w:rPr>
          <w:rFonts w:hint="eastAsia"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第1部分：通用要求</w:t>
      </w:r>
    </w:p>
    <w:p w14:paraId="0C59FCB7">
      <w:pPr>
        <w:keepNext w:val="0"/>
        <w:keepLines w:val="0"/>
        <w:pageBreakBefore w:val="0"/>
        <w:widowControl w:val="0"/>
        <w:shd w:val="clear" w:color="auto" w:fill="FFFFFF"/>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w:t>
      </w:r>
      <w:r>
        <w:rPr>
          <w:rFonts w:hint="default"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4706.38—2008 家用和类似用途电器的安全</w:t>
      </w:r>
      <w:r>
        <w:rPr>
          <w:rFonts w:hint="default" w:ascii="Times New Roman" w:hAnsi="Times New Roman" w:cs="Times New Roman"/>
          <w:color w:val="000000" w:themeColor="text1"/>
          <w:highlight w:val="none"/>
          <w:lang w:val="en-US" w:eastAsia="zh-CN"/>
          <w14:textFill>
            <w14:solidFill>
              <w14:schemeClr w14:val="tx1"/>
            </w14:solidFill>
          </w14:textFill>
        </w:rPr>
        <w:t xml:space="preserve"> </w:t>
      </w:r>
      <w:r>
        <w:rPr>
          <w:rFonts w:hint="eastAsia"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商用电动饮食加工机械的特殊要求</w:t>
      </w:r>
    </w:p>
    <w:p w14:paraId="70A48ED2">
      <w:pPr>
        <w:keepNext w:val="0"/>
        <w:keepLines w:val="0"/>
        <w:pageBreakBefore w:val="0"/>
        <w:widowControl w:val="0"/>
        <w:shd w:val="clear" w:color="auto" w:fill="FFFFFF"/>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w:t>
      </w:r>
      <w:r>
        <w:rPr>
          <w:rFonts w:hint="default"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 xml:space="preserve">4706.38—2024 家用和类似用途电器的安全 </w:t>
      </w:r>
      <w:r>
        <w:rPr>
          <w:rFonts w:hint="eastAsia"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第38部分：商用电动饮食加工机械的特殊</w:t>
      </w:r>
      <w:r>
        <w:rPr>
          <w:rFonts w:hint="default" w:ascii="Times New Roman" w:hAnsi="Times New Roman" w:cs="Times New Roman"/>
          <w:color w:val="000000" w:themeColor="text1"/>
          <w:highlight w:val="none"/>
          <w:lang w:val="en-US" w:eastAsia="zh-CN"/>
          <w14:textFill>
            <w14:solidFill>
              <w14:schemeClr w14:val="tx1"/>
            </w14:solidFill>
          </w14:textFill>
        </w:rPr>
        <w:t>要求</w:t>
      </w:r>
    </w:p>
    <w:p w14:paraId="2B2715EA">
      <w:pPr>
        <w:keepNext w:val="0"/>
        <w:keepLines w:val="0"/>
        <w:pageBreakBefore w:val="0"/>
        <w:widowControl w:val="0"/>
        <w:shd w:val="clear" w:color="auto" w:fill="FFFFFF"/>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cs="Times New Roman"/>
        </w:rPr>
      </w:pPr>
      <w:r>
        <w:rPr>
          <w:rFonts w:hint="default" w:ascii="Times New Roman" w:hAnsi="Times New Roman" w:cs="Times New Roman"/>
        </w:rPr>
        <w:t>GB 4806.1—2016 食品安全国家标准</w:t>
      </w:r>
      <w:r>
        <w:rPr>
          <w:rFonts w:hint="eastAsia" w:ascii="Times New Roman" w:hAnsi="Times New Roman" w:cs="Times New Roman"/>
          <w:lang w:val="en-US" w:eastAsia="zh-CN"/>
        </w:rPr>
        <w:t xml:space="preserve">  </w:t>
      </w:r>
      <w:r>
        <w:rPr>
          <w:rFonts w:hint="default" w:ascii="Times New Roman" w:hAnsi="Times New Roman" w:cs="Times New Roman"/>
        </w:rPr>
        <w:t>食品接触材料及制品通用安全要求</w:t>
      </w:r>
    </w:p>
    <w:p w14:paraId="68EBCE4B">
      <w:pPr>
        <w:keepNext w:val="0"/>
        <w:keepLines w:val="0"/>
        <w:pageBreakBefore w:val="0"/>
        <w:widowControl w:val="0"/>
        <w:shd w:val="clear" w:color="auto" w:fill="FFFFFF"/>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r>
        <w:rPr>
          <w:rFonts w:hint="eastAsia"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食品安全国家标准</w:t>
      </w:r>
      <w:r>
        <w:rPr>
          <w:rFonts w:hint="eastAsia"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食品接触用塑料材料及制品</w:t>
      </w:r>
    </w:p>
    <w:p w14:paraId="3534D2D2">
      <w:pPr>
        <w:keepNext w:val="0"/>
        <w:keepLines w:val="0"/>
        <w:pageBreakBefore w:val="0"/>
        <w:widowControl w:val="0"/>
        <w:shd w:val="clear" w:color="auto" w:fill="FFFFFF"/>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r>
        <w:rPr>
          <w:rFonts w:hint="eastAsia"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食品安全国家标准</w:t>
      </w:r>
      <w:r>
        <w:rPr>
          <w:rFonts w:hint="eastAsia"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食品接触用金属材料及制品</w:t>
      </w:r>
    </w:p>
    <w:p w14:paraId="73371EB0">
      <w:pPr>
        <w:keepNext w:val="0"/>
        <w:keepLines w:val="0"/>
        <w:pageBreakBefore w:val="0"/>
        <w:widowControl w:val="0"/>
        <w:shd w:val="clear" w:color="auto" w:fill="FFFFFF"/>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4806.11—2016</w:t>
      </w:r>
      <w:r>
        <w:rPr>
          <w:rFonts w:hint="eastAsia"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食品安全国家标准</w:t>
      </w:r>
      <w:r>
        <w:rPr>
          <w:rFonts w:hint="eastAsia"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食品接触用橡胶材料及制品</w:t>
      </w:r>
    </w:p>
    <w:p w14:paraId="600F10C7">
      <w:pPr>
        <w:keepNext w:val="0"/>
        <w:keepLines w:val="0"/>
        <w:pageBreakBefore w:val="0"/>
        <w:widowControl w:val="0"/>
        <w:shd w:val="clear" w:color="auto" w:fill="FFFFFF"/>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4806.11—2023</w:t>
      </w:r>
      <w:r>
        <w:rPr>
          <w:rFonts w:hint="eastAsia"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食品安全国家标准</w:t>
      </w:r>
      <w:r>
        <w:rPr>
          <w:rFonts w:hint="eastAsia"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食品接触用橡胶材料及制品</w:t>
      </w:r>
    </w:p>
    <w:p w14:paraId="2A3DC5B8">
      <w:pPr>
        <w:keepNext w:val="0"/>
        <w:keepLines w:val="0"/>
        <w:pageBreakBefore w:val="0"/>
        <w:widowControl w:val="0"/>
        <w:shd w:val="clear" w:color="auto" w:fill="FFFFFF"/>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4806.16—2025</w:t>
      </w:r>
      <w:r>
        <w:rPr>
          <w:rFonts w:hint="eastAsia"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食品安全国家标准</w:t>
      </w:r>
      <w:r>
        <w:rPr>
          <w:rFonts w:hint="eastAsia"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食品接触用硅橡胶材料及制品</w:t>
      </w:r>
    </w:p>
    <w:p w14:paraId="7BDE35D3">
      <w:pPr>
        <w:keepNext w:val="0"/>
        <w:keepLines w:val="0"/>
        <w:pageBreakBefore w:val="0"/>
        <w:widowControl w:val="0"/>
        <w:shd w:val="clear" w:color="auto" w:fill="FFFFFF"/>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9685—2016</w:t>
      </w:r>
      <w:r>
        <w:rPr>
          <w:rFonts w:hint="eastAsia"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食品安全国家标准</w:t>
      </w:r>
      <w:r>
        <w:rPr>
          <w:rFonts w:hint="eastAsia"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食品接触材料及制品用添加剂使用标准</w:t>
      </w:r>
    </w:p>
    <w:p w14:paraId="249992A5">
      <w:pPr>
        <w:keepNext w:val="0"/>
        <w:keepLines w:val="0"/>
        <w:pageBreakBefore w:val="0"/>
        <w:widowControl w:val="0"/>
        <w:shd w:val="clear" w:color="auto" w:fill="FFFFFF"/>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16798—2023</w:t>
      </w:r>
      <w:r>
        <w:rPr>
          <w:rFonts w:hint="eastAsia"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食品机械安全要求</w:t>
      </w:r>
    </w:p>
    <w:p w14:paraId="5713B820">
      <w:pPr>
        <w:keepNext w:val="0"/>
        <w:keepLines w:val="0"/>
        <w:pageBreakBefore w:val="0"/>
        <w:widowControl w:val="0"/>
        <w:shd w:val="clear" w:color="auto" w:fill="FFFFFF"/>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44246—2024</w:t>
      </w:r>
      <w:r>
        <w:rPr>
          <w:rFonts w:hint="eastAsia"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家用和类似用途电器、体育用品的电气部分及电玩具 安全技术规范</w:t>
      </w:r>
    </w:p>
    <w:p w14:paraId="7B0D6395">
      <w:pPr>
        <w:keepNext w:val="0"/>
        <w:keepLines w:val="0"/>
        <w:pageBreakBefore w:val="0"/>
        <w:widowControl w:val="0"/>
        <w:shd w:val="clear" w:color="auto" w:fill="FFFFFF"/>
        <w:kinsoku/>
        <w:wordWrap/>
        <w:overflowPunct/>
        <w:topLinePunct w:val="0"/>
        <w:autoSpaceDE/>
        <w:autoSpaceDN/>
        <w:bidi w:val="0"/>
        <w:adjustRightInd/>
        <w:snapToGrid w:val="0"/>
        <w:spacing w:line="44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5FC76CB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14:paraId="5F7A16E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37D2BE6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706F4FD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44837DE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3A8EB75D">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07CF1076">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76A5A8B8">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71AB0DA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81B4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4B0DA0">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04B0DA0">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CFD616"/>
    <w:multiLevelType w:val="singleLevel"/>
    <w:tmpl w:val="ACCFD616"/>
    <w:lvl w:ilvl="0" w:tentative="0">
      <w:start w:val="1"/>
      <w:numFmt w:val="decimal"/>
      <w:lvlText w:val="%1"/>
      <w:lvlJc w:val="left"/>
      <w:pPr>
        <w:tabs>
          <w:tab w:val="left" w:pos="420"/>
        </w:tabs>
        <w:ind w:left="425" w:hanging="425"/>
      </w:pPr>
      <w:rPr>
        <w:rFonts w:hint="default"/>
      </w:rPr>
    </w:lvl>
  </w:abstractNum>
  <w:abstractNum w:abstractNumId="1">
    <w:nsid w:val="0EF87E23"/>
    <w:multiLevelType w:val="singleLevel"/>
    <w:tmpl w:val="0EF87E23"/>
    <w:lvl w:ilvl="0" w:tentative="0">
      <w:start w:val="1"/>
      <w:numFmt w:val="decimal"/>
      <w:lvlText w:val="%1"/>
      <w:lvlJc w:val="left"/>
      <w:pPr>
        <w:tabs>
          <w:tab w:val="left" w:pos="420"/>
        </w:tabs>
        <w:ind w:left="425" w:leftChars="0" w:hanging="425" w:firstLineChars="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326DE"/>
    <w:rsid w:val="01DE07DC"/>
    <w:rsid w:val="02551A35"/>
    <w:rsid w:val="036455F8"/>
    <w:rsid w:val="067C415F"/>
    <w:rsid w:val="06E03F13"/>
    <w:rsid w:val="070E6657"/>
    <w:rsid w:val="0CD143AE"/>
    <w:rsid w:val="0D343503"/>
    <w:rsid w:val="10B13B7E"/>
    <w:rsid w:val="13144FF5"/>
    <w:rsid w:val="149E7B87"/>
    <w:rsid w:val="156C55BC"/>
    <w:rsid w:val="1CD1652E"/>
    <w:rsid w:val="1D954F44"/>
    <w:rsid w:val="1E7B23CC"/>
    <w:rsid w:val="222A1341"/>
    <w:rsid w:val="234E78B1"/>
    <w:rsid w:val="28135C91"/>
    <w:rsid w:val="295D53A7"/>
    <w:rsid w:val="29B570DA"/>
    <w:rsid w:val="2B4863B8"/>
    <w:rsid w:val="2B830B12"/>
    <w:rsid w:val="2E5977D4"/>
    <w:rsid w:val="2E8C4181"/>
    <w:rsid w:val="2ED81174"/>
    <w:rsid w:val="3079246C"/>
    <w:rsid w:val="311E490C"/>
    <w:rsid w:val="38A81BB8"/>
    <w:rsid w:val="408E5B37"/>
    <w:rsid w:val="42C54070"/>
    <w:rsid w:val="43081BD1"/>
    <w:rsid w:val="439E0D9F"/>
    <w:rsid w:val="46050649"/>
    <w:rsid w:val="46F26E20"/>
    <w:rsid w:val="470C0994"/>
    <w:rsid w:val="47E66258"/>
    <w:rsid w:val="48797678"/>
    <w:rsid w:val="4B9F509C"/>
    <w:rsid w:val="4C516D59"/>
    <w:rsid w:val="4C6D02BD"/>
    <w:rsid w:val="4E227B86"/>
    <w:rsid w:val="4E3A2F69"/>
    <w:rsid w:val="4EC77E56"/>
    <w:rsid w:val="5054330D"/>
    <w:rsid w:val="523C53F3"/>
    <w:rsid w:val="534D3EB1"/>
    <w:rsid w:val="58705DF6"/>
    <w:rsid w:val="592E4311"/>
    <w:rsid w:val="5C20021B"/>
    <w:rsid w:val="5C4D5356"/>
    <w:rsid w:val="649B4036"/>
    <w:rsid w:val="67FF22F0"/>
    <w:rsid w:val="68932257"/>
    <w:rsid w:val="69977566"/>
    <w:rsid w:val="6AE3640F"/>
    <w:rsid w:val="6E79418D"/>
    <w:rsid w:val="6FD607DD"/>
    <w:rsid w:val="6FF46EB5"/>
    <w:rsid w:val="71BA4C42"/>
    <w:rsid w:val="737C0D9D"/>
    <w:rsid w:val="73C038EC"/>
    <w:rsid w:val="74422159"/>
    <w:rsid w:val="77062301"/>
    <w:rsid w:val="77650ECC"/>
    <w:rsid w:val="7947444E"/>
    <w:rsid w:val="799A287B"/>
    <w:rsid w:val="7A4B1893"/>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_Style 67"/>
    <w:basedOn w:val="1"/>
    <w:next w:val="1"/>
    <w:qFormat/>
    <w:uiPriority w:val="34"/>
    <w:pPr>
      <w:widowControl/>
      <w:spacing w:line="360" w:lineRule="auto"/>
      <w:ind w:firstLine="420" w:firstLineChars="200"/>
      <w:jc w:val="left"/>
    </w:pPr>
    <w:rPr>
      <w:rFonts w:ascii="Calibri" w:hAnsi="Calibri" w:eastAsia="微软雅黑"/>
      <w:sz w:val="24"/>
      <w:szCs w:val="22"/>
    </w:rPr>
  </w:style>
  <w:style w:type="table" w:customStyle="1" w:styleId="8">
    <w:name w:val="网格型1"/>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1147</Words>
  <Characters>2367</Characters>
  <Lines>0</Lines>
  <Paragraphs>0</Paragraphs>
  <TotalTime>14</TotalTime>
  <ScaleCrop>false</ScaleCrop>
  <LinksUpToDate>false</LinksUpToDate>
  <CharactersWithSpaces>2476</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2026-07-10T08:11:48Z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8EB906BCA4B64A1189F69D9EFF4022BB_13</vt:lpwstr>
  </property>
  <property fmtid="{D5CDD505-2E9C-101B-9397-08002B2CF9AE}" pid="4" name="KSOTemplateDocerSaveRecord">
    <vt:lpwstr>eyJoZGlkIjoiYjU4YTEyOWI0YTA1NzExMDUyM2E4NzRjZjM1MmQ2OWEiLCJ1c2VySWQiOiIxMTI2NTcyODI0In0=</vt:lpwstr>
  </property>
</Properties>
</file>